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9E3" w:rsidRPr="003801DB" w:rsidRDefault="006159E3" w:rsidP="006159E3">
      <w:pPr>
        <w:pStyle w:val="ListParagraph"/>
        <w:numPr>
          <w:ilvl w:val="0"/>
          <w:numId w:val="1"/>
        </w:numPr>
        <w:rPr>
          <w:b/>
        </w:rPr>
      </w:pPr>
      <w:bookmarkStart w:id="0" w:name="_GoBack"/>
      <w:bookmarkEnd w:id="0"/>
      <w:r w:rsidRPr="003801DB">
        <w:rPr>
          <w:b/>
        </w:rPr>
        <w:t>Gap Analysis &amp; Areas for Improvement</w:t>
      </w:r>
    </w:p>
    <w:p w:rsidR="006159E3" w:rsidRDefault="006159E3" w:rsidP="006159E3"/>
    <w:tbl>
      <w:tblPr>
        <w:tblStyle w:val="TableGrid"/>
        <w:tblW w:w="0" w:type="auto"/>
        <w:tblLook w:val="04A0" w:firstRow="1" w:lastRow="0" w:firstColumn="1" w:lastColumn="0" w:noHBand="0" w:noVBand="1"/>
      </w:tblPr>
      <w:tblGrid>
        <w:gridCol w:w="14174"/>
      </w:tblGrid>
      <w:tr w:rsidR="006159E3" w:rsidTr="005E4111">
        <w:tc>
          <w:tcPr>
            <w:tcW w:w="14174" w:type="dxa"/>
          </w:tcPr>
          <w:p w:rsidR="006159E3" w:rsidRDefault="006159E3" w:rsidP="005E4111">
            <w:pPr>
              <w:jc w:val="both"/>
            </w:pPr>
            <w:r>
              <w:t>Taking account of your analysis of the supply and demand of childcare, summarise the gaps in provision Specific focus should be given to the following areas:</w:t>
            </w:r>
          </w:p>
          <w:p w:rsidR="006159E3" w:rsidRDefault="006159E3" w:rsidP="005E4111">
            <w:pPr>
              <w:jc w:val="both"/>
            </w:pPr>
          </w:p>
          <w:p w:rsidR="006159E3" w:rsidRDefault="006159E3" w:rsidP="005E4111">
            <w:pPr>
              <w:jc w:val="both"/>
            </w:pPr>
          </w:p>
          <w:p w:rsidR="006159E3" w:rsidRDefault="006159E3" w:rsidP="005E4111">
            <w:pPr>
              <w:jc w:val="both"/>
            </w:pPr>
            <w:r>
              <w:t>The following postcodes have been used throughout the document.  The table below details the areas that fall into each post coded area:</w:t>
            </w:r>
          </w:p>
          <w:p w:rsidR="006159E3" w:rsidRDefault="006159E3" w:rsidP="005E4111">
            <w:pPr>
              <w:jc w:val="both"/>
            </w:pPr>
          </w:p>
          <w:tbl>
            <w:tblPr>
              <w:tblStyle w:val="TableGrid"/>
              <w:tblW w:w="0" w:type="auto"/>
              <w:tblInd w:w="1552" w:type="dxa"/>
              <w:tblLook w:val="04A0" w:firstRow="1" w:lastRow="0" w:firstColumn="1" w:lastColumn="0" w:noHBand="0" w:noVBand="1"/>
            </w:tblPr>
            <w:tblGrid>
              <w:gridCol w:w="1696"/>
              <w:gridCol w:w="8654"/>
            </w:tblGrid>
            <w:tr w:rsidR="006159E3" w:rsidTr="005E4111">
              <w:tc>
                <w:tcPr>
                  <w:tcW w:w="1696" w:type="dxa"/>
                </w:tcPr>
                <w:p w:rsidR="006159E3" w:rsidRDefault="006159E3" w:rsidP="005E4111">
                  <w:r>
                    <w:t>CF31</w:t>
                  </w:r>
                </w:p>
              </w:tc>
              <w:tc>
                <w:tcPr>
                  <w:tcW w:w="8654" w:type="dxa"/>
                </w:tcPr>
                <w:p w:rsidR="006159E3" w:rsidRDefault="006159E3" w:rsidP="005E4111">
                  <w:r>
                    <w:t>Bridgend Town, Brackla, Coity, Pen-y-Fai</w:t>
                  </w:r>
                </w:p>
              </w:tc>
            </w:tr>
            <w:tr w:rsidR="006159E3" w:rsidTr="005E4111">
              <w:tc>
                <w:tcPr>
                  <w:tcW w:w="1696" w:type="dxa"/>
                </w:tcPr>
                <w:p w:rsidR="006159E3" w:rsidRDefault="006159E3" w:rsidP="005E4111">
                  <w:r>
                    <w:t>CF32</w:t>
                  </w:r>
                </w:p>
              </w:tc>
              <w:tc>
                <w:tcPr>
                  <w:tcW w:w="8654" w:type="dxa"/>
                </w:tcPr>
                <w:p w:rsidR="006159E3" w:rsidRDefault="006159E3" w:rsidP="005E4111">
                  <w:r>
                    <w:t xml:space="preserve">Cefn Cribwr, Laleston, Ogmore Vale, Tondu, Sarn, Ynysawdre, Pontycymer, Llangeinor, Garw Valley, Blaengarw, Blackmill, Bettws and Aberkenfig. </w:t>
                  </w:r>
                </w:p>
              </w:tc>
            </w:tr>
            <w:tr w:rsidR="006159E3" w:rsidTr="005E4111">
              <w:tc>
                <w:tcPr>
                  <w:tcW w:w="1696" w:type="dxa"/>
                </w:tcPr>
                <w:p w:rsidR="006159E3" w:rsidRDefault="006159E3" w:rsidP="005E4111">
                  <w:r>
                    <w:t>CF33</w:t>
                  </w:r>
                </w:p>
              </w:tc>
              <w:tc>
                <w:tcPr>
                  <w:tcW w:w="8654" w:type="dxa"/>
                </w:tcPr>
                <w:p w:rsidR="006159E3" w:rsidRDefault="006159E3" w:rsidP="005E4111">
                  <w:r>
                    <w:t>Cornelly and Pyle</w:t>
                  </w:r>
                </w:p>
              </w:tc>
            </w:tr>
            <w:tr w:rsidR="006159E3" w:rsidTr="005E4111">
              <w:tc>
                <w:tcPr>
                  <w:tcW w:w="1696" w:type="dxa"/>
                </w:tcPr>
                <w:p w:rsidR="006159E3" w:rsidRDefault="006159E3" w:rsidP="005E4111">
                  <w:r>
                    <w:t>CF34</w:t>
                  </w:r>
                </w:p>
              </w:tc>
              <w:tc>
                <w:tcPr>
                  <w:tcW w:w="8654" w:type="dxa"/>
                </w:tcPr>
                <w:p w:rsidR="006159E3" w:rsidRDefault="006159E3" w:rsidP="005E4111">
                  <w:r>
                    <w:t>Maesteg Town, Llangynwyd, Caerau, Nantyffyllon</w:t>
                  </w:r>
                </w:p>
              </w:tc>
            </w:tr>
            <w:tr w:rsidR="006159E3" w:rsidTr="005E4111">
              <w:tc>
                <w:tcPr>
                  <w:tcW w:w="1696" w:type="dxa"/>
                </w:tcPr>
                <w:p w:rsidR="006159E3" w:rsidRDefault="006159E3" w:rsidP="005E4111">
                  <w:r>
                    <w:t>CF35</w:t>
                  </w:r>
                </w:p>
              </w:tc>
              <w:tc>
                <w:tcPr>
                  <w:tcW w:w="8654" w:type="dxa"/>
                </w:tcPr>
                <w:p w:rsidR="006159E3" w:rsidRDefault="006159E3" w:rsidP="005E4111">
                  <w:r>
                    <w:t>Pencoed, Coychurch</w:t>
                  </w:r>
                </w:p>
              </w:tc>
            </w:tr>
            <w:tr w:rsidR="006159E3" w:rsidTr="005E4111">
              <w:tc>
                <w:tcPr>
                  <w:tcW w:w="1696" w:type="dxa"/>
                </w:tcPr>
                <w:p w:rsidR="006159E3" w:rsidRDefault="006159E3" w:rsidP="005E4111">
                  <w:r>
                    <w:t>CF36</w:t>
                  </w:r>
                </w:p>
              </w:tc>
              <w:tc>
                <w:tcPr>
                  <w:tcW w:w="8654" w:type="dxa"/>
                </w:tcPr>
                <w:p w:rsidR="006159E3" w:rsidRDefault="006159E3" w:rsidP="005E4111">
                  <w:r>
                    <w:t>Porthcawl, Nottage and Newton</w:t>
                  </w:r>
                </w:p>
              </w:tc>
            </w:tr>
            <w:tr w:rsidR="006159E3" w:rsidTr="005E4111">
              <w:tc>
                <w:tcPr>
                  <w:tcW w:w="1696" w:type="dxa"/>
                </w:tcPr>
                <w:p w:rsidR="006159E3" w:rsidRDefault="006159E3" w:rsidP="005E4111">
                  <w:r>
                    <w:t xml:space="preserve">CF39 </w:t>
                  </w:r>
                </w:p>
              </w:tc>
              <w:tc>
                <w:tcPr>
                  <w:tcW w:w="8654" w:type="dxa"/>
                </w:tcPr>
                <w:p w:rsidR="006159E3" w:rsidRDefault="006159E3" w:rsidP="005E4111">
                  <w:r>
                    <w:t>Evanstown and Gilfach Goch</w:t>
                  </w:r>
                </w:p>
              </w:tc>
            </w:tr>
          </w:tbl>
          <w:p w:rsidR="006159E3" w:rsidRDefault="006159E3" w:rsidP="005E4111">
            <w:pPr>
              <w:jc w:val="both"/>
            </w:pPr>
          </w:p>
          <w:p w:rsidR="006159E3" w:rsidRDefault="006159E3" w:rsidP="005E4111">
            <w:pPr>
              <w:jc w:val="both"/>
            </w:pPr>
            <w:r>
              <w:t>For the purposes of the report CF32 and CF39 information has been reported under CF32 data.</w:t>
            </w:r>
          </w:p>
          <w:p w:rsidR="006159E3" w:rsidRDefault="006159E3" w:rsidP="005E4111">
            <w:pPr>
              <w:jc w:val="both"/>
            </w:pPr>
          </w:p>
          <w:p w:rsidR="006159E3" w:rsidRDefault="006159E3" w:rsidP="005E4111">
            <w:pPr>
              <w:jc w:val="both"/>
            </w:pPr>
            <w:r>
              <w:t>Respondents were asked why they do not used childcare in all instances for their children. Of the responses provided, there were 48 instances where the childcare currently available isn’t perceived sufficient enough for respondents:</w:t>
            </w:r>
          </w:p>
          <w:p w:rsidR="006159E3" w:rsidRDefault="006159E3" w:rsidP="005E4111">
            <w:pPr>
              <w:jc w:val="both"/>
            </w:pPr>
          </w:p>
          <w:tbl>
            <w:tblPr>
              <w:tblStyle w:val="TableGrid"/>
              <w:tblW w:w="0" w:type="auto"/>
              <w:tblLook w:val="04A0" w:firstRow="1" w:lastRow="0" w:firstColumn="1" w:lastColumn="0" w:noHBand="0" w:noVBand="1"/>
            </w:tblPr>
            <w:tblGrid>
              <w:gridCol w:w="6458"/>
              <w:gridCol w:w="985"/>
              <w:gridCol w:w="1457"/>
              <w:gridCol w:w="982"/>
              <w:gridCol w:w="982"/>
              <w:gridCol w:w="982"/>
              <w:gridCol w:w="982"/>
              <w:gridCol w:w="1120"/>
            </w:tblGrid>
            <w:tr w:rsidR="006159E3" w:rsidTr="005E4111">
              <w:tc>
                <w:tcPr>
                  <w:tcW w:w="6842" w:type="dxa"/>
                </w:tcPr>
                <w:p w:rsidR="006159E3" w:rsidRPr="0080344C" w:rsidRDefault="006159E3" w:rsidP="005E4111">
                  <w:pPr>
                    <w:jc w:val="both"/>
                    <w:rPr>
                      <w:b/>
                    </w:rPr>
                  </w:pPr>
                  <w:r w:rsidRPr="0080344C">
                    <w:rPr>
                      <w:b/>
                    </w:rPr>
                    <w:t>Statement</w:t>
                  </w:r>
                </w:p>
              </w:tc>
              <w:tc>
                <w:tcPr>
                  <w:tcW w:w="998" w:type="dxa"/>
                </w:tcPr>
                <w:p w:rsidR="006159E3" w:rsidRPr="0080344C" w:rsidRDefault="006159E3" w:rsidP="005E4111">
                  <w:pPr>
                    <w:jc w:val="both"/>
                    <w:rPr>
                      <w:b/>
                    </w:rPr>
                  </w:pPr>
                  <w:r>
                    <w:rPr>
                      <w:b/>
                    </w:rPr>
                    <w:t>CF31</w:t>
                  </w:r>
                </w:p>
              </w:tc>
              <w:tc>
                <w:tcPr>
                  <w:tcW w:w="997" w:type="dxa"/>
                </w:tcPr>
                <w:p w:rsidR="006159E3" w:rsidRPr="0080344C" w:rsidRDefault="006159E3" w:rsidP="005E4111">
                  <w:pPr>
                    <w:jc w:val="both"/>
                    <w:rPr>
                      <w:b/>
                    </w:rPr>
                  </w:pPr>
                  <w:r>
                    <w:rPr>
                      <w:b/>
                    </w:rPr>
                    <w:t>CF32/CF39</w:t>
                  </w:r>
                </w:p>
              </w:tc>
              <w:tc>
                <w:tcPr>
                  <w:tcW w:w="996" w:type="dxa"/>
                </w:tcPr>
                <w:p w:rsidR="006159E3" w:rsidRPr="0080344C" w:rsidRDefault="006159E3" w:rsidP="005E4111">
                  <w:pPr>
                    <w:jc w:val="both"/>
                    <w:rPr>
                      <w:b/>
                    </w:rPr>
                  </w:pPr>
                  <w:r>
                    <w:rPr>
                      <w:b/>
                    </w:rPr>
                    <w:t>CF33</w:t>
                  </w:r>
                </w:p>
              </w:tc>
              <w:tc>
                <w:tcPr>
                  <w:tcW w:w="996" w:type="dxa"/>
                </w:tcPr>
                <w:p w:rsidR="006159E3" w:rsidRPr="0080344C" w:rsidRDefault="006159E3" w:rsidP="005E4111">
                  <w:pPr>
                    <w:jc w:val="both"/>
                    <w:rPr>
                      <w:b/>
                    </w:rPr>
                  </w:pPr>
                  <w:r>
                    <w:rPr>
                      <w:b/>
                    </w:rPr>
                    <w:t>CF34</w:t>
                  </w:r>
                </w:p>
              </w:tc>
              <w:tc>
                <w:tcPr>
                  <w:tcW w:w="996" w:type="dxa"/>
                </w:tcPr>
                <w:p w:rsidR="006159E3" w:rsidRPr="0080344C" w:rsidRDefault="006159E3" w:rsidP="005E4111">
                  <w:pPr>
                    <w:jc w:val="both"/>
                    <w:rPr>
                      <w:b/>
                    </w:rPr>
                  </w:pPr>
                  <w:r>
                    <w:rPr>
                      <w:b/>
                    </w:rPr>
                    <w:t>CF35</w:t>
                  </w:r>
                </w:p>
              </w:tc>
              <w:tc>
                <w:tcPr>
                  <w:tcW w:w="996" w:type="dxa"/>
                </w:tcPr>
                <w:p w:rsidR="006159E3" w:rsidRPr="0080344C" w:rsidRDefault="006159E3" w:rsidP="005E4111">
                  <w:pPr>
                    <w:jc w:val="both"/>
                    <w:rPr>
                      <w:b/>
                    </w:rPr>
                  </w:pPr>
                  <w:r>
                    <w:rPr>
                      <w:b/>
                    </w:rPr>
                    <w:t>CF36</w:t>
                  </w:r>
                </w:p>
              </w:tc>
              <w:tc>
                <w:tcPr>
                  <w:tcW w:w="1127" w:type="dxa"/>
                </w:tcPr>
                <w:p w:rsidR="006159E3" w:rsidRPr="0080344C" w:rsidRDefault="006159E3" w:rsidP="005E4111">
                  <w:pPr>
                    <w:jc w:val="both"/>
                    <w:rPr>
                      <w:b/>
                    </w:rPr>
                  </w:pPr>
                  <w:r>
                    <w:rPr>
                      <w:b/>
                    </w:rPr>
                    <w:t>Overall</w:t>
                  </w:r>
                </w:p>
              </w:tc>
            </w:tr>
            <w:tr w:rsidR="006159E3" w:rsidTr="005E4111">
              <w:tc>
                <w:tcPr>
                  <w:tcW w:w="6842" w:type="dxa"/>
                </w:tcPr>
                <w:p w:rsidR="006159E3" w:rsidRPr="00E13F5E" w:rsidRDefault="006159E3" w:rsidP="005E4111">
                  <w:pPr>
                    <w:jc w:val="both"/>
                  </w:pPr>
                  <w:r w:rsidRPr="00E13F5E">
                    <w:t>Childcare is too expensive</w:t>
                  </w:r>
                </w:p>
              </w:tc>
              <w:tc>
                <w:tcPr>
                  <w:tcW w:w="998" w:type="dxa"/>
                  <w:vAlign w:val="bottom"/>
                </w:tcPr>
                <w:p w:rsidR="006159E3" w:rsidRPr="00E13F5E" w:rsidRDefault="006159E3" w:rsidP="005E4111">
                  <w:pPr>
                    <w:jc w:val="both"/>
                    <w:rPr>
                      <w:rFonts w:ascii="Calibri" w:hAnsi="Calibri"/>
                      <w:sz w:val="22"/>
                      <w:szCs w:val="22"/>
                    </w:rPr>
                  </w:pPr>
                  <w:r w:rsidRPr="00E13F5E">
                    <w:rPr>
                      <w:rFonts w:ascii="Calibri" w:hAnsi="Calibri"/>
                      <w:sz w:val="22"/>
                      <w:szCs w:val="22"/>
                    </w:rPr>
                    <w:t>7</w:t>
                  </w:r>
                </w:p>
              </w:tc>
              <w:tc>
                <w:tcPr>
                  <w:tcW w:w="997" w:type="dxa"/>
                  <w:vAlign w:val="bottom"/>
                </w:tcPr>
                <w:p w:rsidR="006159E3" w:rsidRPr="00E13F5E" w:rsidRDefault="006159E3" w:rsidP="005E4111">
                  <w:pPr>
                    <w:jc w:val="both"/>
                    <w:rPr>
                      <w:rFonts w:ascii="Calibri" w:hAnsi="Calibri"/>
                      <w:sz w:val="22"/>
                      <w:szCs w:val="22"/>
                    </w:rPr>
                  </w:pPr>
                  <w:r w:rsidRPr="00E13F5E">
                    <w:rPr>
                      <w:rFonts w:ascii="Calibri" w:hAnsi="Calibri"/>
                      <w:sz w:val="22"/>
                      <w:szCs w:val="22"/>
                    </w:rPr>
                    <w:t>3</w:t>
                  </w:r>
                </w:p>
              </w:tc>
              <w:tc>
                <w:tcPr>
                  <w:tcW w:w="996" w:type="dxa"/>
                  <w:vAlign w:val="bottom"/>
                </w:tcPr>
                <w:p w:rsidR="006159E3" w:rsidRPr="00E13F5E" w:rsidRDefault="006159E3" w:rsidP="005E4111">
                  <w:pPr>
                    <w:jc w:val="both"/>
                    <w:rPr>
                      <w:rFonts w:ascii="Calibri" w:hAnsi="Calibri"/>
                      <w:sz w:val="22"/>
                      <w:szCs w:val="22"/>
                    </w:rPr>
                  </w:pPr>
                  <w:r w:rsidRPr="00E13F5E">
                    <w:rPr>
                      <w:rFonts w:ascii="Calibri" w:hAnsi="Calibri"/>
                      <w:sz w:val="22"/>
                      <w:szCs w:val="22"/>
                    </w:rPr>
                    <w:t>6</w:t>
                  </w:r>
                </w:p>
              </w:tc>
              <w:tc>
                <w:tcPr>
                  <w:tcW w:w="996" w:type="dxa"/>
                  <w:vAlign w:val="bottom"/>
                </w:tcPr>
                <w:p w:rsidR="006159E3" w:rsidRPr="00E13F5E" w:rsidRDefault="006159E3" w:rsidP="005E4111">
                  <w:pPr>
                    <w:jc w:val="both"/>
                    <w:rPr>
                      <w:rFonts w:ascii="Calibri" w:hAnsi="Calibri"/>
                      <w:sz w:val="22"/>
                      <w:szCs w:val="22"/>
                    </w:rPr>
                  </w:pPr>
                </w:p>
              </w:tc>
              <w:tc>
                <w:tcPr>
                  <w:tcW w:w="996" w:type="dxa"/>
                  <w:vAlign w:val="bottom"/>
                </w:tcPr>
                <w:p w:rsidR="006159E3" w:rsidRPr="00E13F5E" w:rsidRDefault="006159E3" w:rsidP="005E4111">
                  <w:pPr>
                    <w:jc w:val="both"/>
                    <w:rPr>
                      <w:rFonts w:ascii="Calibri" w:hAnsi="Calibri"/>
                      <w:sz w:val="22"/>
                      <w:szCs w:val="22"/>
                    </w:rPr>
                  </w:pPr>
                  <w:r w:rsidRPr="00E13F5E">
                    <w:rPr>
                      <w:rFonts w:ascii="Calibri" w:hAnsi="Calibri"/>
                      <w:sz w:val="22"/>
                      <w:szCs w:val="22"/>
                    </w:rPr>
                    <w:t>6</w:t>
                  </w:r>
                </w:p>
              </w:tc>
              <w:tc>
                <w:tcPr>
                  <w:tcW w:w="996" w:type="dxa"/>
                  <w:vAlign w:val="bottom"/>
                </w:tcPr>
                <w:p w:rsidR="006159E3" w:rsidRPr="00E13F5E" w:rsidRDefault="006159E3" w:rsidP="005E4111">
                  <w:pPr>
                    <w:jc w:val="both"/>
                    <w:rPr>
                      <w:rFonts w:ascii="Calibri" w:hAnsi="Calibri"/>
                      <w:sz w:val="22"/>
                      <w:szCs w:val="22"/>
                    </w:rPr>
                  </w:pPr>
                  <w:r w:rsidRPr="00E13F5E">
                    <w:rPr>
                      <w:rFonts w:ascii="Calibri" w:hAnsi="Calibri"/>
                      <w:sz w:val="22"/>
                      <w:szCs w:val="22"/>
                    </w:rPr>
                    <w:t>1</w:t>
                  </w:r>
                </w:p>
              </w:tc>
              <w:tc>
                <w:tcPr>
                  <w:tcW w:w="1127" w:type="dxa"/>
                </w:tcPr>
                <w:p w:rsidR="006159E3" w:rsidRPr="00E13F5E" w:rsidRDefault="006159E3" w:rsidP="005E4111">
                  <w:pPr>
                    <w:jc w:val="both"/>
                  </w:pPr>
                  <w:r w:rsidRPr="00E13F5E">
                    <w:t>27</w:t>
                  </w:r>
                </w:p>
              </w:tc>
            </w:tr>
            <w:tr w:rsidR="006159E3" w:rsidTr="005E4111">
              <w:tc>
                <w:tcPr>
                  <w:tcW w:w="6842" w:type="dxa"/>
                </w:tcPr>
                <w:p w:rsidR="006159E3" w:rsidRPr="00E13F5E" w:rsidRDefault="006159E3" w:rsidP="005E4111">
                  <w:pPr>
                    <w:jc w:val="both"/>
                  </w:pPr>
                  <w:r w:rsidRPr="00E13F5E">
                    <w:t>There is no wrap around or after school club at my child(ren)’s school</w:t>
                  </w:r>
                </w:p>
              </w:tc>
              <w:tc>
                <w:tcPr>
                  <w:tcW w:w="998" w:type="dxa"/>
                  <w:vAlign w:val="bottom"/>
                </w:tcPr>
                <w:p w:rsidR="006159E3" w:rsidRPr="00E13F5E" w:rsidRDefault="006159E3" w:rsidP="005E4111">
                  <w:pPr>
                    <w:jc w:val="both"/>
                    <w:rPr>
                      <w:rFonts w:ascii="Calibri" w:hAnsi="Calibri"/>
                      <w:sz w:val="22"/>
                      <w:szCs w:val="22"/>
                    </w:rPr>
                  </w:pPr>
                  <w:r w:rsidRPr="00E13F5E">
                    <w:rPr>
                      <w:rFonts w:ascii="Calibri" w:hAnsi="Calibri"/>
                      <w:sz w:val="22"/>
                      <w:szCs w:val="22"/>
                    </w:rPr>
                    <w:t>2</w:t>
                  </w:r>
                </w:p>
              </w:tc>
              <w:tc>
                <w:tcPr>
                  <w:tcW w:w="997" w:type="dxa"/>
                  <w:vAlign w:val="bottom"/>
                </w:tcPr>
                <w:p w:rsidR="006159E3" w:rsidRPr="00E13F5E" w:rsidRDefault="006159E3" w:rsidP="005E4111">
                  <w:pPr>
                    <w:jc w:val="both"/>
                    <w:rPr>
                      <w:rFonts w:ascii="Calibri" w:hAnsi="Calibri"/>
                      <w:sz w:val="22"/>
                      <w:szCs w:val="22"/>
                    </w:rPr>
                  </w:pPr>
                  <w:r w:rsidRPr="00E13F5E">
                    <w:rPr>
                      <w:rFonts w:ascii="Calibri" w:hAnsi="Calibri"/>
                      <w:sz w:val="22"/>
                      <w:szCs w:val="22"/>
                    </w:rPr>
                    <w:t>3</w:t>
                  </w:r>
                </w:p>
              </w:tc>
              <w:tc>
                <w:tcPr>
                  <w:tcW w:w="996" w:type="dxa"/>
                  <w:vAlign w:val="bottom"/>
                </w:tcPr>
                <w:p w:rsidR="006159E3" w:rsidRPr="00E13F5E" w:rsidRDefault="006159E3" w:rsidP="005E4111">
                  <w:pPr>
                    <w:jc w:val="both"/>
                    <w:rPr>
                      <w:rFonts w:ascii="Calibri" w:hAnsi="Calibri"/>
                      <w:sz w:val="22"/>
                      <w:szCs w:val="22"/>
                    </w:rPr>
                  </w:pPr>
                  <w:r w:rsidRPr="00E13F5E">
                    <w:rPr>
                      <w:rFonts w:ascii="Calibri" w:hAnsi="Calibri"/>
                      <w:sz w:val="22"/>
                      <w:szCs w:val="22"/>
                    </w:rPr>
                    <w:t>1</w:t>
                  </w:r>
                </w:p>
              </w:tc>
              <w:tc>
                <w:tcPr>
                  <w:tcW w:w="996" w:type="dxa"/>
                  <w:vAlign w:val="bottom"/>
                </w:tcPr>
                <w:p w:rsidR="006159E3" w:rsidRPr="00E13F5E" w:rsidRDefault="006159E3" w:rsidP="005E4111">
                  <w:pPr>
                    <w:jc w:val="both"/>
                    <w:rPr>
                      <w:rFonts w:ascii="Calibri" w:hAnsi="Calibri"/>
                      <w:sz w:val="22"/>
                      <w:szCs w:val="22"/>
                    </w:rPr>
                  </w:pPr>
                  <w:r w:rsidRPr="00E13F5E">
                    <w:rPr>
                      <w:rFonts w:ascii="Calibri" w:hAnsi="Calibri"/>
                      <w:sz w:val="22"/>
                      <w:szCs w:val="22"/>
                    </w:rPr>
                    <w:t>2</w:t>
                  </w:r>
                </w:p>
              </w:tc>
              <w:tc>
                <w:tcPr>
                  <w:tcW w:w="996" w:type="dxa"/>
                  <w:vAlign w:val="bottom"/>
                </w:tcPr>
                <w:p w:rsidR="006159E3" w:rsidRPr="00E13F5E" w:rsidRDefault="006159E3" w:rsidP="005E4111">
                  <w:pPr>
                    <w:jc w:val="both"/>
                    <w:rPr>
                      <w:rFonts w:ascii="Calibri" w:hAnsi="Calibri"/>
                      <w:sz w:val="22"/>
                      <w:szCs w:val="22"/>
                    </w:rPr>
                  </w:pPr>
                  <w:r w:rsidRPr="00E13F5E">
                    <w:rPr>
                      <w:rFonts w:ascii="Calibri" w:hAnsi="Calibri"/>
                      <w:sz w:val="22"/>
                      <w:szCs w:val="22"/>
                    </w:rPr>
                    <w:t>1</w:t>
                  </w:r>
                </w:p>
              </w:tc>
              <w:tc>
                <w:tcPr>
                  <w:tcW w:w="996" w:type="dxa"/>
                  <w:vAlign w:val="bottom"/>
                </w:tcPr>
                <w:p w:rsidR="006159E3" w:rsidRPr="00E13F5E" w:rsidRDefault="006159E3" w:rsidP="005E4111">
                  <w:pPr>
                    <w:jc w:val="both"/>
                    <w:rPr>
                      <w:rFonts w:ascii="Calibri" w:hAnsi="Calibri"/>
                      <w:sz w:val="22"/>
                      <w:szCs w:val="22"/>
                    </w:rPr>
                  </w:pPr>
                  <w:r w:rsidRPr="00E13F5E">
                    <w:rPr>
                      <w:rFonts w:ascii="Calibri" w:hAnsi="Calibri"/>
                      <w:sz w:val="22"/>
                      <w:szCs w:val="22"/>
                    </w:rPr>
                    <w:t>2</w:t>
                  </w:r>
                </w:p>
              </w:tc>
              <w:tc>
                <w:tcPr>
                  <w:tcW w:w="1127" w:type="dxa"/>
                </w:tcPr>
                <w:p w:rsidR="006159E3" w:rsidRPr="00E13F5E" w:rsidRDefault="006159E3" w:rsidP="005E4111">
                  <w:pPr>
                    <w:jc w:val="both"/>
                  </w:pPr>
                  <w:r w:rsidRPr="00E13F5E">
                    <w:t>11</w:t>
                  </w:r>
                </w:p>
              </w:tc>
            </w:tr>
            <w:tr w:rsidR="006159E3" w:rsidTr="005E4111">
              <w:tc>
                <w:tcPr>
                  <w:tcW w:w="6842" w:type="dxa"/>
                </w:tcPr>
                <w:p w:rsidR="006159E3" w:rsidRPr="00E13F5E" w:rsidRDefault="006159E3" w:rsidP="005E4111">
                  <w:pPr>
                    <w:jc w:val="both"/>
                  </w:pPr>
                  <w:r w:rsidRPr="00E13F5E">
                    <w:t>There is no childcare that can cater for my child(ren)’s additional needs</w:t>
                  </w:r>
                </w:p>
              </w:tc>
              <w:tc>
                <w:tcPr>
                  <w:tcW w:w="998" w:type="dxa"/>
                  <w:vAlign w:val="bottom"/>
                </w:tcPr>
                <w:p w:rsidR="006159E3" w:rsidRPr="00E13F5E" w:rsidRDefault="006159E3" w:rsidP="005E4111">
                  <w:pPr>
                    <w:jc w:val="both"/>
                    <w:rPr>
                      <w:rFonts w:ascii="Calibri" w:hAnsi="Calibri"/>
                      <w:sz w:val="22"/>
                      <w:szCs w:val="22"/>
                    </w:rPr>
                  </w:pPr>
                </w:p>
              </w:tc>
              <w:tc>
                <w:tcPr>
                  <w:tcW w:w="997" w:type="dxa"/>
                  <w:vAlign w:val="bottom"/>
                </w:tcPr>
                <w:p w:rsidR="006159E3" w:rsidRPr="00E13F5E" w:rsidRDefault="006159E3" w:rsidP="005E4111">
                  <w:pPr>
                    <w:jc w:val="both"/>
                    <w:rPr>
                      <w:rFonts w:ascii="Calibri" w:hAnsi="Calibri"/>
                      <w:sz w:val="22"/>
                      <w:szCs w:val="22"/>
                    </w:rPr>
                  </w:pPr>
                  <w:r w:rsidRPr="00E13F5E">
                    <w:rPr>
                      <w:rFonts w:ascii="Calibri" w:hAnsi="Calibri"/>
                      <w:sz w:val="22"/>
                      <w:szCs w:val="22"/>
                    </w:rPr>
                    <w:t>1</w:t>
                  </w:r>
                </w:p>
              </w:tc>
              <w:tc>
                <w:tcPr>
                  <w:tcW w:w="996" w:type="dxa"/>
                  <w:vAlign w:val="bottom"/>
                </w:tcPr>
                <w:p w:rsidR="006159E3" w:rsidRPr="00E13F5E" w:rsidRDefault="006159E3" w:rsidP="005E4111">
                  <w:pPr>
                    <w:jc w:val="both"/>
                    <w:rPr>
                      <w:rFonts w:ascii="Calibri" w:hAnsi="Calibri"/>
                      <w:sz w:val="22"/>
                      <w:szCs w:val="22"/>
                    </w:rPr>
                  </w:pPr>
                </w:p>
              </w:tc>
              <w:tc>
                <w:tcPr>
                  <w:tcW w:w="996" w:type="dxa"/>
                  <w:vAlign w:val="bottom"/>
                </w:tcPr>
                <w:p w:rsidR="006159E3" w:rsidRPr="00E13F5E" w:rsidRDefault="006159E3" w:rsidP="005E4111">
                  <w:pPr>
                    <w:jc w:val="both"/>
                    <w:rPr>
                      <w:rFonts w:ascii="Calibri" w:hAnsi="Calibri"/>
                      <w:sz w:val="22"/>
                      <w:szCs w:val="22"/>
                    </w:rPr>
                  </w:pPr>
                  <w:r w:rsidRPr="00E13F5E">
                    <w:rPr>
                      <w:rFonts w:ascii="Calibri" w:hAnsi="Calibri"/>
                      <w:sz w:val="22"/>
                      <w:szCs w:val="22"/>
                    </w:rPr>
                    <w:t>1</w:t>
                  </w:r>
                </w:p>
              </w:tc>
              <w:tc>
                <w:tcPr>
                  <w:tcW w:w="996" w:type="dxa"/>
                  <w:vAlign w:val="bottom"/>
                </w:tcPr>
                <w:p w:rsidR="006159E3" w:rsidRPr="00E13F5E" w:rsidRDefault="006159E3" w:rsidP="005E4111">
                  <w:pPr>
                    <w:jc w:val="both"/>
                    <w:rPr>
                      <w:rFonts w:ascii="Calibri" w:hAnsi="Calibri"/>
                      <w:sz w:val="22"/>
                      <w:szCs w:val="22"/>
                    </w:rPr>
                  </w:pPr>
                  <w:r w:rsidRPr="00E13F5E">
                    <w:rPr>
                      <w:rFonts w:ascii="Calibri" w:hAnsi="Calibri"/>
                      <w:sz w:val="22"/>
                      <w:szCs w:val="22"/>
                    </w:rPr>
                    <w:t>1</w:t>
                  </w:r>
                </w:p>
              </w:tc>
              <w:tc>
                <w:tcPr>
                  <w:tcW w:w="996" w:type="dxa"/>
                  <w:vAlign w:val="bottom"/>
                </w:tcPr>
                <w:p w:rsidR="006159E3" w:rsidRPr="00E13F5E" w:rsidRDefault="006159E3" w:rsidP="005E4111">
                  <w:pPr>
                    <w:jc w:val="both"/>
                    <w:rPr>
                      <w:rFonts w:ascii="Calibri" w:hAnsi="Calibri"/>
                      <w:sz w:val="22"/>
                      <w:szCs w:val="22"/>
                    </w:rPr>
                  </w:pPr>
                </w:p>
              </w:tc>
              <w:tc>
                <w:tcPr>
                  <w:tcW w:w="1127" w:type="dxa"/>
                </w:tcPr>
                <w:p w:rsidR="006159E3" w:rsidRPr="00E13F5E" w:rsidRDefault="006159E3" w:rsidP="005E4111">
                  <w:pPr>
                    <w:jc w:val="both"/>
                  </w:pPr>
                  <w:r w:rsidRPr="00E13F5E">
                    <w:t>3</w:t>
                  </w:r>
                </w:p>
              </w:tc>
            </w:tr>
            <w:tr w:rsidR="006159E3" w:rsidTr="005E4111">
              <w:tc>
                <w:tcPr>
                  <w:tcW w:w="6842" w:type="dxa"/>
                </w:tcPr>
                <w:p w:rsidR="006159E3" w:rsidRPr="00E13F5E" w:rsidRDefault="006159E3" w:rsidP="005E4111">
                  <w:pPr>
                    <w:jc w:val="both"/>
                  </w:pPr>
                  <w:r w:rsidRPr="00E13F5E">
                    <w:t>I have problems with transport</w:t>
                  </w:r>
                </w:p>
              </w:tc>
              <w:tc>
                <w:tcPr>
                  <w:tcW w:w="998" w:type="dxa"/>
                  <w:vAlign w:val="bottom"/>
                </w:tcPr>
                <w:p w:rsidR="006159E3" w:rsidRPr="00E13F5E" w:rsidRDefault="006159E3" w:rsidP="005E4111">
                  <w:pPr>
                    <w:jc w:val="both"/>
                    <w:rPr>
                      <w:rFonts w:ascii="Calibri" w:hAnsi="Calibri"/>
                      <w:sz w:val="22"/>
                      <w:szCs w:val="22"/>
                    </w:rPr>
                  </w:pPr>
                  <w:r w:rsidRPr="00E13F5E">
                    <w:rPr>
                      <w:rFonts w:ascii="Calibri" w:hAnsi="Calibri"/>
                      <w:sz w:val="22"/>
                      <w:szCs w:val="22"/>
                    </w:rPr>
                    <w:t>1</w:t>
                  </w:r>
                </w:p>
              </w:tc>
              <w:tc>
                <w:tcPr>
                  <w:tcW w:w="997" w:type="dxa"/>
                  <w:vAlign w:val="bottom"/>
                </w:tcPr>
                <w:p w:rsidR="006159E3" w:rsidRPr="00E13F5E" w:rsidRDefault="006159E3" w:rsidP="005E4111">
                  <w:pPr>
                    <w:jc w:val="both"/>
                    <w:rPr>
                      <w:rFonts w:ascii="Calibri" w:hAnsi="Calibri"/>
                      <w:sz w:val="22"/>
                      <w:szCs w:val="22"/>
                    </w:rPr>
                  </w:pPr>
                  <w:r w:rsidRPr="00E13F5E">
                    <w:rPr>
                      <w:rFonts w:ascii="Calibri" w:hAnsi="Calibri"/>
                      <w:sz w:val="22"/>
                      <w:szCs w:val="22"/>
                    </w:rPr>
                    <w:t>1</w:t>
                  </w:r>
                </w:p>
              </w:tc>
              <w:tc>
                <w:tcPr>
                  <w:tcW w:w="996" w:type="dxa"/>
                  <w:vAlign w:val="bottom"/>
                </w:tcPr>
                <w:p w:rsidR="006159E3" w:rsidRPr="00E13F5E" w:rsidRDefault="006159E3" w:rsidP="005E4111">
                  <w:pPr>
                    <w:jc w:val="both"/>
                    <w:rPr>
                      <w:rFonts w:ascii="Calibri" w:hAnsi="Calibri"/>
                      <w:sz w:val="22"/>
                      <w:szCs w:val="22"/>
                    </w:rPr>
                  </w:pPr>
                </w:p>
              </w:tc>
              <w:tc>
                <w:tcPr>
                  <w:tcW w:w="996" w:type="dxa"/>
                  <w:vAlign w:val="bottom"/>
                </w:tcPr>
                <w:p w:rsidR="006159E3" w:rsidRPr="00E13F5E" w:rsidRDefault="006159E3" w:rsidP="005E4111">
                  <w:pPr>
                    <w:jc w:val="both"/>
                    <w:rPr>
                      <w:rFonts w:ascii="Calibri" w:hAnsi="Calibri"/>
                      <w:sz w:val="22"/>
                      <w:szCs w:val="22"/>
                    </w:rPr>
                  </w:pPr>
                </w:p>
              </w:tc>
              <w:tc>
                <w:tcPr>
                  <w:tcW w:w="996" w:type="dxa"/>
                  <w:vAlign w:val="bottom"/>
                </w:tcPr>
                <w:p w:rsidR="006159E3" w:rsidRPr="00E13F5E" w:rsidRDefault="006159E3" w:rsidP="005E4111">
                  <w:pPr>
                    <w:jc w:val="both"/>
                    <w:rPr>
                      <w:rFonts w:ascii="Calibri" w:hAnsi="Calibri"/>
                      <w:sz w:val="22"/>
                      <w:szCs w:val="22"/>
                    </w:rPr>
                  </w:pPr>
                </w:p>
              </w:tc>
              <w:tc>
                <w:tcPr>
                  <w:tcW w:w="996" w:type="dxa"/>
                  <w:vAlign w:val="bottom"/>
                </w:tcPr>
                <w:p w:rsidR="006159E3" w:rsidRPr="00E13F5E" w:rsidRDefault="006159E3" w:rsidP="005E4111">
                  <w:pPr>
                    <w:jc w:val="both"/>
                    <w:rPr>
                      <w:rFonts w:ascii="Calibri" w:hAnsi="Calibri"/>
                      <w:sz w:val="22"/>
                      <w:szCs w:val="22"/>
                    </w:rPr>
                  </w:pPr>
                </w:p>
              </w:tc>
              <w:tc>
                <w:tcPr>
                  <w:tcW w:w="1127" w:type="dxa"/>
                </w:tcPr>
                <w:p w:rsidR="006159E3" w:rsidRPr="00E13F5E" w:rsidRDefault="006159E3" w:rsidP="005E4111">
                  <w:pPr>
                    <w:jc w:val="both"/>
                  </w:pPr>
                  <w:r w:rsidRPr="00E13F5E">
                    <w:t>2</w:t>
                  </w:r>
                </w:p>
              </w:tc>
            </w:tr>
            <w:tr w:rsidR="006159E3" w:rsidTr="005E4111">
              <w:tc>
                <w:tcPr>
                  <w:tcW w:w="6842" w:type="dxa"/>
                </w:tcPr>
                <w:p w:rsidR="006159E3" w:rsidRPr="00E13F5E" w:rsidRDefault="006159E3" w:rsidP="005E4111">
                  <w:pPr>
                    <w:jc w:val="both"/>
                  </w:pPr>
                  <w:r w:rsidRPr="00E13F5E">
                    <w:t>There is no childcare available at the times that I need it</w:t>
                  </w:r>
                </w:p>
              </w:tc>
              <w:tc>
                <w:tcPr>
                  <w:tcW w:w="998" w:type="dxa"/>
                  <w:vAlign w:val="bottom"/>
                </w:tcPr>
                <w:p w:rsidR="006159E3" w:rsidRPr="00E13F5E" w:rsidRDefault="006159E3" w:rsidP="005E4111">
                  <w:pPr>
                    <w:jc w:val="both"/>
                    <w:rPr>
                      <w:rFonts w:ascii="Calibri" w:hAnsi="Calibri"/>
                      <w:sz w:val="22"/>
                      <w:szCs w:val="22"/>
                    </w:rPr>
                  </w:pPr>
                  <w:r w:rsidRPr="00E13F5E">
                    <w:rPr>
                      <w:rFonts w:ascii="Calibri" w:hAnsi="Calibri"/>
                      <w:sz w:val="22"/>
                      <w:szCs w:val="22"/>
                    </w:rPr>
                    <w:t>1</w:t>
                  </w:r>
                </w:p>
              </w:tc>
              <w:tc>
                <w:tcPr>
                  <w:tcW w:w="997" w:type="dxa"/>
                  <w:vAlign w:val="bottom"/>
                </w:tcPr>
                <w:p w:rsidR="006159E3" w:rsidRPr="00E13F5E" w:rsidRDefault="006159E3" w:rsidP="005E4111">
                  <w:pPr>
                    <w:jc w:val="both"/>
                    <w:rPr>
                      <w:rFonts w:ascii="Calibri" w:hAnsi="Calibri"/>
                      <w:sz w:val="22"/>
                      <w:szCs w:val="22"/>
                    </w:rPr>
                  </w:pPr>
                </w:p>
              </w:tc>
              <w:tc>
                <w:tcPr>
                  <w:tcW w:w="996" w:type="dxa"/>
                  <w:vAlign w:val="bottom"/>
                </w:tcPr>
                <w:p w:rsidR="006159E3" w:rsidRPr="00E13F5E" w:rsidRDefault="006159E3" w:rsidP="005E4111">
                  <w:pPr>
                    <w:jc w:val="both"/>
                    <w:rPr>
                      <w:rFonts w:ascii="Calibri" w:hAnsi="Calibri"/>
                      <w:sz w:val="22"/>
                      <w:szCs w:val="22"/>
                    </w:rPr>
                  </w:pPr>
                </w:p>
              </w:tc>
              <w:tc>
                <w:tcPr>
                  <w:tcW w:w="996" w:type="dxa"/>
                  <w:vAlign w:val="bottom"/>
                </w:tcPr>
                <w:p w:rsidR="006159E3" w:rsidRPr="00E13F5E" w:rsidRDefault="006159E3" w:rsidP="005E4111">
                  <w:pPr>
                    <w:jc w:val="both"/>
                    <w:rPr>
                      <w:rFonts w:ascii="Calibri" w:hAnsi="Calibri"/>
                      <w:sz w:val="22"/>
                      <w:szCs w:val="22"/>
                    </w:rPr>
                  </w:pPr>
                </w:p>
              </w:tc>
              <w:tc>
                <w:tcPr>
                  <w:tcW w:w="996" w:type="dxa"/>
                  <w:vAlign w:val="bottom"/>
                </w:tcPr>
                <w:p w:rsidR="006159E3" w:rsidRPr="00E13F5E" w:rsidRDefault="006159E3" w:rsidP="005E4111">
                  <w:pPr>
                    <w:jc w:val="both"/>
                    <w:rPr>
                      <w:rFonts w:ascii="Calibri" w:hAnsi="Calibri"/>
                      <w:sz w:val="22"/>
                      <w:szCs w:val="22"/>
                    </w:rPr>
                  </w:pPr>
                  <w:r w:rsidRPr="00E13F5E">
                    <w:rPr>
                      <w:rFonts w:ascii="Calibri" w:hAnsi="Calibri"/>
                      <w:sz w:val="22"/>
                      <w:szCs w:val="22"/>
                    </w:rPr>
                    <w:t>1</w:t>
                  </w:r>
                </w:p>
              </w:tc>
              <w:tc>
                <w:tcPr>
                  <w:tcW w:w="996" w:type="dxa"/>
                  <w:vAlign w:val="bottom"/>
                </w:tcPr>
                <w:p w:rsidR="006159E3" w:rsidRPr="00E13F5E" w:rsidRDefault="006159E3" w:rsidP="005E4111">
                  <w:pPr>
                    <w:jc w:val="both"/>
                    <w:rPr>
                      <w:rFonts w:ascii="Calibri" w:hAnsi="Calibri"/>
                      <w:sz w:val="22"/>
                      <w:szCs w:val="22"/>
                    </w:rPr>
                  </w:pPr>
                </w:p>
              </w:tc>
              <w:tc>
                <w:tcPr>
                  <w:tcW w:w="1127" w:type="dxa"/>
                </w:tcPr>
                <w:p w:rsidR="006159E3" w:rsidRPr="00E13F5E" w:rsidRDefault="006159E3" w:rsidP="005E4111">
                  <w:pPr>
                    <w:jc w:val="both"/>
                  </w:pPr>
                  <w:r w:rsidRPr="00E13F5E">
                    <w:t>2</w:t>
                  </w:r>
                </w:p>
              </w:tc>
            </w:tr>
            <w:tr w:rsidR="006159E3" w:rsidTr="005E4111">
              <w:tc>
                <w:tcPr>
                  <w:tcW w:w="6842" w:type="dxa"/>
                </w:tcPr>
                <w:p w:rsidR="006159E3" w:rsidRPr="00E13F5E" w:rsidRDefault="006159E3" w:rsidP="005E4111">
                  <w:pPr>
                    <w:jc w:val="both"/>
                  </w:pPr>
                  <w:r w:rsidRPr="00E13F5E">
                    <w:t>There is no childcare that is in the right location</w:t>
                  </w:r>
                </w:p>
              </w:tc>
              <w:tc>
                <w:tcPr>
                  <w:tcW w:w="998" w:type="dxa"/>
                  <w:vAlign w:val="bottom"/>
                </w:tcPr>
                <w:p w:rsidR="006159E3" w:rsidRPr="00E13F5E" w:rsidRDefault="006159E3" w:rsidP="005E4111">
                  <w:pPr>
                    <w:jc w:val="both"/>
                    <w:rPr>
                      <w:rFonts w:ascii="Calibri" w:hAnsi="Calibri"/>
                      <w:sz w:val="22"/>
                      <w:szCs w:val="22"/>
                    </w:rPr>
                  </w:pPr>
                </w:p>
              </w:tc>
              <w:tc>
                <w:tcPr>
                  <w:tcW w:w="997" w:type="dxa"/>
                  <w:vAlign w:val="bottom"/>
                </w:tcPr>
                <w:p w:rsidR="006159E3" w:rsidRPr="00E13F5E" w:rsidRDefault="006159E3" w:rsidP="005E4111">
                  <w:pPr>
                    <w:jc w:val="both"/>
                    <w:rPr>
                      <w:rFonts w:ascii="Calibri" w:hAnsi="Calibri"/>
                      <w:sz w:val="22"/>
                      <w:szCs w:val="22"/>
                    </w:rPr>
                  </w:pPr>
                </w:p>
              </w:tc>
              <w:tc>
                <w:tcPr>
                  <w:tcW w:w="996" w:type="dxa"/>
                  <w:vAlign w:val="bottom"/>
                </w:tcPr>
                <w:p w:rsidR="006159E3" w:rsidRPr="00E13F5E" w:rsidRDefault="006159E3" w:rsidP="005E4111">
                  <w:pPr>
                    <w:jc w:val="both"/>
                    <w:rPr>
                      <w:rFonts w:ascii="Calibri" w:hAnsi="Calibri"/>
                      <w:sz w:val="22"/>
                      <w:szCs w:val="22"/>
                    </w:rPr>
                  </w:pPr>
                </w:p>
              </w:tc>
              <w:tc>
                <w:tcPr>
                  <w:tcW w:w="996" w:type="dxa"/>
                  <w:vAlign w:val="bottom"/>
                </w:tcPr>
                <w:p w:rsidR="006159E3" w:rsidRPr="00E13F5E" w:rsidRDefault="006159E3" w:rsidP="005E4111">
                  <w:pPr>
                    <w:jc w:val="both"/>
                    <w:rPr>
                      <w:rFonts w:ascii="Calibri" w:hAnsi="Calibri"/>
                      <w:sz w:val="22"/>
                      <w:szCs w:val="22"/>
                    </w:rPr>
                  </w:pPr>
                </w:p>
              </w:tc>
              <w:tc>
                <w:tcPr>
                  <w:tcW w:w="996" w:type="dxa"/>
                  <w:vAlign w:val="bottom"/>
                </w:tcPr>
                <w:p w:rsidR="006159E3" w:rsidRPr="00E13F5E" w:rsidRDefault="006159E3" w:rsidP="005E4111">
                  <w:pPr>
                    <w:jc w:val="both"/>
                    <w:rPr>
                      <w:rFonts w:ascii="Calibri" w:hAnsi="Calibri"/>
                      <w:sz w:val="22"/>
                      <w:szCs w:val="22"/>
                    </w:rPr>
                  </w:pPr>
                </w:p>
              </w:tc>
              <w:tc>
                <w:tcPr>
                  <w:tcW w:w="996" w:type="dxa"/>
                  <w:vAlign w:val="bottom"/>
                </w:tcPr>
                <w:p w:rsidR="006159E3" w:rsidRPr="00E13F5E" w:rsidRDefault="006159E3" w:rsidP="005E4111">
                  <w:pPr>
                    <w:jc w:val="both"/>
                    <w:rPr>
                      <w:rFonts w:ascii="Calibri" w:hAnsi="Calibri"/>
                      <w:sz w:val="22"/>
                      <w:szCs w:val="22"/>
                    </w:rPr>
                  </w:pPr>
                </w:p>
              </w:tc>
              <w:tc>
                <w:tcPr>
                  <w:tcW w:w="1127" w:type="dxa"/>
                </w:tcPr>
                <w:p w:rsidR="006159E3" w:rsidRPr="00E13F5E" w:rsidRDefault="006159E3" w:rsidP="005E4111">
                  <w:pPr>
                    <w:jc w:val="both"/>
                  </w:pPr>
                  <w:r w:rsidRPr="00E13F5E">
                    <w:t>1</w:t>
                  </w:r>
                </w:p>
              </w:tc>
            </w:tr>
            <w:tr w:rsidR="006159E3" w:rsidTr="005E4111">
              <w:tc>
                <w:tcPr>
                  <w:tcW w:w="6842" w:type="dxa"/>
                </w:tcPr>
                <w:p w:rsidR="006159E3" w:rsidRPr="00E13F5E" w:rsidRDefault="006159E3" w:rsidP="005E4111">
                  <w:pPr>
                    <w:jc w:val="both"/>
                  </w:pPr>
                  <w:r w:rsidRPr="00E13F5E">
                    <w:lastRenderedPageBreak/>
                    <w:t>There is no suitable Welsh Medium provision</w:t>
                  </w:r>
                </w:p>
              </w:tc>
              <w:tc>
                <w:tcPr>
                  <w:tcW w:w="998" w:type="dxa"/>
                </w:tcPr>
                <w:p w:rsidR="006159E3" w:rsidRPr="00E13F5E" w:rsidRDefault="006159E3" w:rsidP="005E4111">
                  <w:pPr>
                    <w:jc w:val="both"/>
                  </w:pPr>
                </w:p>
              </w:tc>
              <w:tc>
                <w:tcPr>
                  <w:tcW w:w="997" w:type="dxa"/>
                </w:tcPr>
                <w:p w:rsidR="006159E3" w:rsidRPr="00E13F5E" w:rsidRDefault="006159E3" w:rsidP="005E4111">
                  <w:pPr>
                    <w:jc w:val="both"/>
                  </w:pPr>
                </w:p>
              </w:tc>
              <w:tc>
                <w:tcPr>
                  <w:tcW w:w="996" w:type="dxa"/>
                </w:tcPr>
                <w:p w:rsidR="006159E3" w:rsidRPr="00E13F5E" w:rsidRDefault="006159E3" w:rsidP="005E4111">
                  <w:pPr>
                    <w:jc w:val="both"/>
                  </w:pPr>
                </w:p>
              </w:tc>
              <w:tc>
                <w:tcPr>
                  <w:tcW w:w="996" w:type="dxa"/>
                </w:tcPr>
                <w:p w:rsidR="006159E3" w:rsidRPr="00E13F5E" w:rsidRDefault="006159E3" w:rsidP="005E4111">
                  <w:pPr>
                    <w:jc w:val="both"/>
                  </w:pPr>
                </w:p>
              </w:tc>
              <w:tc>
                <w:tcPr>
                  <w:tcW w:w="996" w:type="dxa"/>
                </w:tcPr>
                <w:p w:rsidR="006159E3" w:rsidRPr="00E13F5E" w:rsidRDefault="006159E3" w:rsidP="005E4111">
                  <w:pPr>
                    <w:jc w:val="both"/>
                  </w:pPr>
                  <w:r w:rsidRPr="00E13F5E">
                    <w:rPr>
                      <w:rFonts w:ascii="Calibri" w:hAnsi="Calibri"/>
                      <w:sz w:val="22"/>
                      <w:szCs w:val="22"/>
                    </w:rPr>
                    <w:t>1</w:t>
                  </w:r>
                </w:p>
              </w:tc>
              <w:tc>
                <w:tcPr>
                  <w:tcW w:w="996" w:type="dxa"/>
                </w:tcPr>
                <w:p w:rsidR="006159E3" w:rsidRPr="00E13F5E" w:rsidRDefault="006159E3" w:rsidP="005E4111">
                  <w:pPr>
                    <w:jc w:val="both"/>
                  </w:pPr>
                </w:p>
              </w:tc>
              <w:tc>
                <w:tcPr>
                  <w:tcW w:w="1127" w:type="dxa"/>
                </w:tcPr>
                <w:p w:rsidR="006159E3" w:rsidRPr="00E13F5E" w:rsidRDefault="006159E3" w:rsidP="005E4111">
                  <w:pPr>
                    <w:jc w:val="both"/>
                  </w:pPr>
                  <w:r w:rsidRPr="00E13F5E">
                    <w:t>1</w:t>
                  </w:r>
                </w:p>
              </w:tc>
            </w:tr>
            <w:tr w:rsidR="006159E3" w:rsidTr="005E4111">
              <w:tc>
                <w:tcPr>
                  <w:tcW w:w="6842" w:type="dxa"/>
                </w:tcPr>
                <w:p w:rsidR="006159E3" w:rsidRPr="00E13F5E" w:rsidRDefault="006159E3" w:rsidP="005E4111">
                  <w:pPr>
                    <w:jc w:val="both"/>
                  </w:pPr>
                  <w:r>
                    <w:t>‘Other’ - n</w:t>
                  </w:r>
                  <w:r w:rsidRPr="00E13F5E">
                    <w:t>ew resident</w:t>
                  </w:r>
                </w:p>
              </w:tc>
              <w:tc>
                <w:tcPr>
                  <w:tcW w:w="998" w:type="dxa"/>
                </w:tcPr>
                <w:p w:rsidR="006159E3" w:rsidRPr="00E13F5E" w:rsidRDefault="006159E3" w:rsidP="005E4111">
                  <w:pPr>
                    <w:jc w:val="both"/>
                  </w:pPr>
                </w:p>
              </w:tc>
              <w:tc>
                <w:tcPr>
                  <w:tcW w:w="997" w:type="dxa"/>
                </w:tcPr>
                <w:p w:rsidR="006159E3" w:rsidRPr="00E13F5E" w:rsidRDefault="006159E3" w:rsidP="005E4111">
                  <w:pPr>
                    <w:jc w:val="both"/>
                  </w:pPr>
                  <w:r w:rsidRPr="00E13F5E">
                    <w:t>1</w:t>
                  </w:r>
                </w:p>
              </w:tc>
              <w:tc>
                <w:tcPr>
                  <w:tcW w:w="996" w:type="dxa"/>
                </w:tcPr>
                <w:p w:rsidR="006159E3" w:rsidRPr="00E13F5E" w:rsidRDefault="006159E3" w:rsidP="005E4111">
                  <w:pPr>
                    <w:jc w:val="both"/>
                  </w:pPr>
                </w:p>
              </w:tc>
              <w:tc>
                <w:tcPr>
                  <w:tcW w:w="996" w:type="dxa"/>
                </w:tcPr>
                <w:p w:rsidR="006159E3" w:rsidRPr="00E13F5E" w:rsidRDefault="006159E3" w:rsidP="005E4111">
                  <w:pPr>
                    <w:jc w:val="both"/>
                  </w:pPr>
                </w:p>
              </w:tc>
              <w:tc>
                <w:tcPr>
                  <w:tcW w:w="996" w:type="dxa"/>
                </w:tcPr>
                <w:p w:rsidR="006159E3" w:rsidRPr="00E13F5E" w:rsidRDefault="006159E3" w:rsidP="005E4111">
                  <w:pPr>
                    <w:jc w:val="both"/>
                    <w:rPr>
                      <w:rFonts w:ascii="Calibri" w:hAnsi="Calibri"/>
                      <w:sz w:val="22"/>
                      <w:szCs w:val="22"/>
                    </w:rPr>
                  </w:pPr>
                </w:p>
              </w:tc>
              <w:tc>
                <w:tcPr>
                  <w:tcW w:w="996" w:type="dxa"/>
                </w:tcPr>
                <w:p w:rsidR="006159E3" w:rsidRPr="00E13F5E" w:rsidRDefault="006159E3" w:rsidP="005E4111">
                  <w:pPr>
                    <w:jc w:val="both"/>
                  </w:pPr>
                </w:p>
              </w:tc>
              <w:tc>
                <w:tcPr>
                  <w:tcW w:w="1127" w:type="dxa"/>
                </w:tcPr>
                <w:p w:rsidR="006159E3" w:rsidRPr="00E13F5E" w:rsidRDefault="006159E3" w:rsidP="005E4111">
                  <w:pPr>
                    <w:jc w:val="both"/>
                  </w:pPr>
                  <w:r w:rsidRPr="00E13F5E">
                    <w:t>1</w:t>
                  </w:r>
                </w:p>
              </w:tc>
            </w:tr>
            <w:tr w:rsidR="006159E3" w:rsidTr="005E4111">
              <w:tc>
                <w:tcPr>
                  <w:tcW w:w="6842" w:type="dxa"/>
                </w:tcPr>
                <w:p w:rsidR="006159E3" w:rsidRPr="0080344C" w:rsidRDefault="006159E3" w:rsidP="005E4111">
                  <w:pPr>
                    <w:jc w:val="both"/>
                    <w:rPr>
                      <w:b/>
                    </w:rPr>
                  </w:pPr>
                  <w:r w:rsidRPr="0080344C">
                    <w:rPr>
                      <w:b/>
                    </w:rPr>
                    <w:t>Total</w:t>
                  </w:r>
                </w:p>
              </w:tc>
              <w:tc>
                <w:tcPr>
                  <w:tcW w:w="998" w:type="dxa"/>
                </w:tcPr>
                <w:p w:rsidR="006159E3" w:rsidRPr="0080344C" w:rsidRDefault="006159E3" w:rsidP="005E4111">
                  <w:pPr>
                    <w:jc w:val="both"/>
                    <w:rPr>
                      <w:b/>
                    </w:rPr>
                  </w:pPr>
                </w:p>
              </w:tc>
              <w:tc>
                <w:tcPr>
                  <w:tcW w:w="997" w:type="dxa"/>
                </w:tcPr>
                <w:p w:rsidR="006159E3" w:rsidRPr="0080344C" w:rsidRDefault="006159E3" w:rsidP="005E4111">
                  <w:pPr>
                    <w:jc w:val="both"/>
                    <w:rPr>
                      <w:b/>
                    </w:rPr>
                  </w:pPr>
                </w:p>
              </w:tc>
              <w:tc>
                <w:tcPr>
                  <w:tcW w:w="996" w:type="dxa"/>
                </w:tcPr>
                <w:p w:rsidR="006159E3" w:rsidRPr="0080344C" w:rsidRDefault="006159E3" w:rsidP="005E4111">
                  <w:pPr>
                    <w:jc w:val="both"/>
                    <w:rPr>
                      <w:b/>
                    </w:rPr>
                  </w:pPr>
                </w:p>
              </w:tc>
              <w:tc>
                <w:tcPr>
                  <w:tcW w:w="996" w:type="dxa"/>
                </w:tcPr>
                <w:p w:rsidR="006159E3" w:rsidRPr="0080344C" w:rsidRDefault="006159E3" w:rsidP="005E4111">
                  <w:pPr>
                    <w:jc w:val="both"/>
                    <w:rPr>
                      <w:b/>
                    </w:rPr>
                  </w:pPr>
                </w:p>
              </w:tc>
              <w:tc>
                <w:tcPr>
                  <w:tcW w:w="996" w:type="dxa"/>
                </w:tcPr>
                <w:p w:rsidR="006159E3" w:rsidRPr="0080344C" w:rsidRDefault="006159E3" w:rsidP="005E4111">
                  <w:pPr>
                    <w:jc w:val="both"/>
                    <w:rPr>
                      <w:b/>
                    </w:rPr>
                  </w:pPr>
                </w:p>
              </w:tc>
              <w:tc>
                <w:tcPr>
                  <w:tcW w:w="996" w:type="dxa"/>
                </w:tcPr>
                <w:p w:rsidR="006159E3" w:rsidRPr="0080344C" w:rsidRDefault="006159E3" w:rsidP="005E4111">
                  <w:pPr>
                    <w:jc w:val="both"/>
                    <w:rPr>
                      <w:b/>
                    </w:rPr>
                  </w:pPr>
                </w:p>
              </w:tc>
              <w:tc>
                <w:tcPr>
                  <w:tcW w:w="1127" w:type="dxa"/>
                </w:tcPr>
                <w:p w:rsidR="006159E3" w:rsidRPr="0080344C" w:rsidRDefault="006159E3" w:rsidP="005E4111">
                  <w:pPr>
                    <w:jc w:val="both"/>
                    <w:rPr>
                      <w:b/>
                    </w:rPr>
                  </w:pPr>
                  <w:r>
                    <w:rPr>
                      <w:b/>
                    </w:rPr>
                    <w:t>48</w:t>
                  </w:r>
                </w:p>
              </w:tc>
            </w:tr>
          </w:tbl>
          <w:p w:rsidR="006159E3" w:rsidRDefault="006159E3" w:rsidP="005E4111">
            <w:pPr>
              <w:jc w:val="both"/>
            </w:pPr>
          </w:p>
          <w:p w:rsidR="006159E3" w:rsidRDefault="006159E3" w:rsidP="005E4111">
            <w:pPr>
              <w:jc w:val="both"/>
            </w:pPr>
            <w:r>
              <w:t xml:space="preserve">Of the ‘other’ statements, one was regarding difficultly in accessing childcare. ‘I don’t know my resouces, I am new down here’, the respondent had recently moved to CF32/CF39. One resident stated there was no childcare in the right location, but failed to provide a postal address, thus, it cannot be identified as a gap. </w:t>
            </w:r>
          </w:p>
          <w:p w:rsidR="006159E3" w:rsidRDefault="006159E3" w:rsidP="005E4111">
            <w:pPr>
              <w:jc w:val="both"/>
            </w:pPr>
          </w:p>
          <w:p w:rsidR="006159E3" w:rsidRDefault="006159E3" w:rsidP="005E4111">
            <w:pPr>
              <w:jc w:val="both"/>
            </w:pPr>
            <w:r>
              <w:t xml:space="preserve">Childcare is deemed as too expensive for over half (56%) of those not using childcare. Of the 27 respondents who stated childcare was too expensive, seven were earning a household income of less than £20,000, four were earning between £20,001 and £40,000, whilst another seven had a household income of over £40,001. </w:t>
            </w:r>
          </w:p>
          <w:p w:rsidR="006159E3" w:rsidRDefault="006159E3" w:rsidP="005E4111">
            <w:pPr>
              <w:jc w:val="both"/>
            </w:pPr>
          </w:p>
          <w:tbl>
            <w:tblPr>
              <w:tblStyle w:val="TableGrid"/>
              <w:tblW w:w="5000" w:type="pct"/>
              <w:tblLook w:val="04A0" w:firstRow="1" w:lastRow="0" w:firstColumn="1" w:lastColumn="0" w:noHBand="0" w:noVBand="1"/>
            </w:tblPr>
            <w:tblGrid>
              <w:gridCol w:w="7999"/>
              <w:gridCol w:w="899"/>
              <w:gridCol w:w="1457"/>
              <w:gridCol w:w="899"/>
              <w:gridCol w:w="899"/>
              <w:gridCol w:w="900"/>
              <w:gridCol w:w="895"/>
            </w:tblGrid>
            <w:tr w:rsidR="006159E3" w:rsidTr="005E4111">
              <w:tc>
                <w:tcPr>
                  <w:tcW w:w="2896" w:type="pct"/>
                </w:tcPr>
                <w:p w:rsidR="006159E3" w:rsidRPr="00E13F5E" w:rsidRDefault="006159E3" w:rsidP="005E4111">
                  <w:pPr>
                    <w:jc w:val="both"/>
                    <w:rPr>
                      <w:b/>
                    </w:rPr>
                  </w:pPr>
                  <w:r w:rsidRPr="00E13F5E">
                    <w:rPr>
                      <w:b/>
                    </w:rPr>
                    <w:t>Average annual household income</w:t>
                  </w:r>
                </w:p>
              </w:tc>
              <w:tc>
                <w:tcPr>
                  <w:tcW w:w="351" w:type="pct"/>
                </w:tcPr>
                <w:p w:rsidR="006159E3" w:rsidRPr="00E13F5E" w:rsidRDefault="006159E3" w:rsidP="005E4111">
                  <w:pPr>
                    <w:jc w:val="both"/>
                    <w:rPr>
                      <w:b/>
                    </w:rPr>
                  </w:pPr>
                  <w:r w:rsidRPr="00E13F5E">
                    <w:rPr>
                      <w:b/>
                    </w:rPr>
                    <w:t>CF31</w:t>
                  </w:r>
                </w:p>
              </w:tc>
              <w:tc>
                <w:tcPr>
                  <w:tcW w:w="351" w:type="pct"/>
                </w:tcPr>
                <w:p w:rsidR="006159E3" w:rsidRPr="00E13F5E" w:rsidRDefault="006159E3" w:rsidP="005E4111">
                  <w:pPr>
                    <w:jc w:val="both"/>
                    <w:rPr>
                      <w:b/>
                    </w:rPr>
                  </w:pPr>
                  <w:r w:rsidRPr="00E13F5E">
                    <w:rPr>
                      <w:b/>
                    </w:rPr>
                    <w:t>CF32</w:t>
                  </w:r>
                  <w:r>
                    <w:rPr>
                      <w:b/>
                    </w:rPr>
                    <w:t>/CF39</w:t>
                  </w:r>
                </w:p>
              </w:tc>
              <w:tc>
                <w:tcPr>
                  <w:tcW w:w="351" w:type="pct"/>
                </w:tcPr>
                <w:p w:rsidR="006159E3" w:rsidRPr="00E13F5E" w:rsidRDefault="006159E3" w:rsidP="005E4111">
                  <w:pPr>
                    <w:jc w:val="both"/>
                    <w:rPr>
                      <w:b/>
                    </w:rPr>
                  </w:pPr>
                  <w:r w:rsidRPr="00E13F5E">
                    <w:rPr>
                      <w:b/>
                    </w:rPr>
                    <w:t>CF33</w:t>
                  </w:r>
                </w:p>
              </w:tc>
              <w:tc>
                <w:tcPr>
                  <w:tcW w:w="351" w:type="pct"/>
                </w:tcPr>
                <w:p w:rsidR="006159E3" w:rsidRPr="00E13F5E" w:rsidRDefault="006159E3" w:rsidP="005E4111">
                  <w:pPr>
                    <w:jc w:val="both"/>
                    <w:rPr>
                      <w:b/>
                    </w:rPr>
                  </w:pPr>
                  <w:r w:rsidRPr="00E13F5E">
                    <w:rPr>
                      <w:b/>
                    </w:rPr>
                    <w:t>CF35</w:t>
                  </w:r>
                </w:p>
              </w:tc>
              <w:tc>
                <w:tcPr>
                  <w:tcW w:w="351" w:type="pct"/>
                </w:tcPr>
                <w:p w:rsidR="006159E3" w:rsidRPr="00E13F5E" w:rsidRDefault="006159E3" w:rsidP="005E4111">
                  <w:pPr>
                    <w:jc w:val="both"/>
                    <w:rPr>
                      <w:b/>
                    </w:rPr>
                  </w:pPr>
                  <w:r w:rsidRPr="00E13F5E">
                    <w:rPr>
                      <w:b/>
                    </w:rPr>
                    <w:t>CF36</w:t>
                  </w:r>
                </w:p>
              </w:tc>
              <w:tc>
                <w:tcPr>
                  <w:tcW w:w="349" w:type="pct"/>
                </w:tcPr>
                <w:p w:rsidR="006159E3" w:rsidRPr="00E13F5E" w:rsidRDefault="006159E3" w:rsidP="005E4111">
                  <w:pPr>
                    <w:jc w:val="both"/>
                    <w:rPr>
                      <w:b/>
                    </w:rPr>
                  </w:pPr>
                  <w:r>
                    <w:rPr>
                      <w:b/>
                    </w:rPr>
                    <w:t>Total</w:t>
                  </w:r>
                </w:p>
              </w:tc>
            </w:tr>
            <w:tr w:rsidR="006159E3" w:rsidTr="005E4111">
              <w:tc>
                <w:tcPr>
                  <w:tcW w:w="2896" w:type="pct"/>
                </w:tcPr>
                <w:p w:rsidR="006159E3" w:rsidRDefault="006159E3" w:rsidP="005E4111">
                  <w:pPr>
                    <w:jc w:val="both"/>
                  </w:pPr>
                  <w:r>
                    <w:t>£0 - £10,000</w:t>
                  </w:r>
                </w:p>
              </w:tc>
              <w:tc>
                <w:tcPr>
                  <w:tcW w:w="351" w:type="pct"/>
                </w:tcPr>
                <w:p w:rsidR="006159E3" w:rsidRDefault="006159E3" w:rsidP="005E4111">
                  <w:pPr>
                    <w:jc w:val="both"/>
                  </w:pPr>
                </w:p>
              </w:tc>
              <w:tc>
                <w:tcPr>
                  <w:tcW w:w="351" w:type="pct"/>
                </w:tcPr>
                <w:p w:rsidR="006159E3" w:rsidRDefault="006159E3" w:rsidP="005E4111">
                  <w:pPr>
                    <w:jc w:val="both"/>
                  </w:pPr>
                </w:p>
              </w:tc>
              <w:tc>
                <w:tcPr>
                  <w:tcW w:w="351" w:type="pct"/>
                </w:tcPr>
                <w:p w:rsidR="006159E3" w:rsidRDefault="006159E3" w:rsidP="005E4111">
                  <w:pPr>
                    <w:jc w:val="both"/>
                  </w:pPr>
                  <w:r>
                    <w:t>2</w:t>
                  </w:r>
                </w:p>
              </w:tc>
              <w:tc>
                <w:tcPr>
                  <w:tcW w:w="351" w:type="pct"/>
                </w:tcPr>
                <w:p w:rsidR="006159E3" w:rsidRDefault="006159E3" w:rsidP="005E4111">
                  <w:pPr>
                    <w:jc w:val="both"/>
                  </w:pPr>
                </w:p>
              </w:tc>
              <w:tc>
                <w:tcPr>
                  <w:tcW w:w="351" w:type="pct"/>
                </w:tcPr>
                <w:p w:rsidR="006159E3" w:rsidRDefault="006159E3" w:rsidP="005E4111">
                  <w:pPr>
                    <w:jc w:val="both"/>
                  </w:pPr>
                </w:p>
              </w:tc>
              <w:tc>
                <w:tcPr>
                  <w:tcW w:w="349" w:type="pct"/>
                </w:tcPr>
                <w:p w:rsidR="006159E3" w:rsidRDefault="006159E3" w:rsidP="005E4111">
                  <w:pPr>
                    <w:jc w:val="both"/>
                  </w:pPr>
                  <w:r>
                    <w:t>2</w:t>
                  </w:r>
                </w:p>
              </w:tc>
            </w:tr>
            <w:tr w:rsidR="006159E3" w:rsidTr="005E4111">
              <w:tc>
                <w:tcPr>
                  <w:tcW w:w="2896" w:type="pct"/>
                </w:tcPr>
                <w:p w:rsidR="006159E3" w:rsidRDefault="006159E3" w:rsidP="005E4111">
                  <w:pPr>
                    <w:jc w:val="both"/>
                  </w:pPr>
                  <w:r>
                    <w:t>£10,001 - £20,000</w:t>
                  </w:r>
                </w:p>
              </w:tc>
              <w:tc>
                <w:tcPr>
                  <w:tcW w:w="351" w:type="pct"/>
                </w:tcPr>
                <w:p w:rsidR="006159E3" w:rsidRDefault="006159E3" w:rsidP="005E4111">
                  <w:pPr>
                    <w:jc w:val="both"/>
                  </w:pPr>
                  <w:r>
                    <w:t>1</w:t>
                  </w:r>
                </w:p>
              </w:tc>
              <w:tc>
                <w:tcPr>
                  <w:tcW w:w="351" w:type="pct"/>
                </w:tcPr>
                <w:p w:rsidR="006159E3" w:rsidRDefault="006159E3" w:rsidP="005E4111">
                  <w:pPr>
                    <w:jc w:val="both"/>
                  </w:pPr>
                  <w:r>
                    <w:t>1</w:t>
                  </w:r>
                </w:p>
              </w:tc>
              <w:tc>
                <w:tcPr>
                  <w:tcW w:w="351" w:type="pct"/>
                </w:tcPr>
                <w:p w:rsidR="006159E3" w:rsidRDefault="006159E3" w:rsidP="005E4111">
                  <w:pPr>
                    <w:jc w:val="both"/>
                  </w:pPr>
                  <w:r>
                    <w:t>1</w:t>
                  </w:r>
                </w:p>
              </w:tc>
              <w:tc>
                <w:tcPr>
                  <w:tcW w:w="351" w:type="pct"/>
                </w:tcPr>
                <w:p w:rsidR="006159E3" w:rsidRDefault="006159E3" w:rsidP="005E4111">
                  <w:pPr>
                    <w:jc w:val="both"/>
                  </w:pPr>
                  <w:r>
                    <w:t>1</w:t>
                  </w:r>
                </w:p>
              </w:tc>
              <w:tc>
                <w:tcPr>
                  <w:tcW w:w="351" w:type="pct"/>
                </w:tcPr>
                <w:p w:rsidR="006159E3" w:rsidRDefault="006159E3" w:rsidP="005E4111">
                  <w:pPr>
                    <w:jc w:val="both"/>
                  </w:pPr>
                  <w:r>
                    <w:t>1</w:t>
                  </w:r>
                </w:p>
              </w:tc>
              <w:tc>
                <w:tcPr>
                  <w:tcW w:w="349" w:type="pct"/>
                </w:tcPr>
                <w:p w:rsidR="006159E3" w:rsidRDefault="006159E3" w:rsidP="005E4111">
                  <w:pPr>
                    <w:jc w:val="both"/>
                  </w:pPr>
                  <w:r>
                    <w:t>5</w:t>
                  </w:r>
                </w:p>
              </w:tc>
            </w:tr>
            <w:tr w:rsidR="006159E3" w:rsidTr="005E4111">
              <w:tc>
                <w:tcPr>
                  <w:tcW w:w="2896" w:type="pct"/>
                </w:tcPr>
                <w:p w:rsidR="006159E3" w:rsidRDefault="006159E3" w:rsidP="005E4111">
                  <w:pPr>
                    <w:jc w:val="both"/>
                  </w:pPr>
                  <w:r>
                    <w:t>£20,001 - £30,000</w:t>
                  </w:r>
                </w:p>
              </w:tc>
              <w:tc>
                <w:tcPr>
                  <w:tcW w:w="351" w:type="pct"/>
                </w:tcPr>
                <w:p w:rsidR="006159E3" w:rsidRDefault="006159E3" w:rsidP="005E4111">
                  <w:pPr>
                    <w:jc w:val="both"/>
                  </w:pPr>
                  <w:r>
                    <w:t>2</w:t>
                  </w:r>
                </w:p>
              </w:tc>
              <w:tc>
                <w:tcPr>
                  <w:tcW w:w="351" w:type="pct"/>
                </w:tcPr>
                <w:p w:rsidR="006159E3" w:rsidRDefault="006159E3" w:rsidP="005E4111">
                  <w:pPr>
                    <w:jc w:val="both"/>
                  </w:pPr>
                </w:p>
              </w:tc>
              <w:tc>
                <w:tcPr>
                  <w:tcW w:w="351" w:type="pct"/>
                </w:tcPr>
                <w:p w:rsidR="006159E3" w:rsidRDefault="006159E3" w:rsidP="005E4111">
                  <w:pPr>
                    <w:jc w:val="both"/>
                  </w:pPr>
                </w:p>
              </w:tc>
              <w:tc>
                <w:tcPr>
                  <w:tcW w:w="351" w:type="pct"/>
                </w:tcPr>
                <w:p w:rsidR="006159E3" w:rsidRDefault="006159E3" w:rsidP="005E4111">
                  <w:pPr>
                    <w:jc w:val="both"/>
                  </w:pPr>
                </w:p>
              </w:tc>
              <w:tc>
                <w:tcPr>
                  <w:tcW w:w="351" w:type="pct"/>
                </w:tcPr>
                <w:p w:rsidR="006159E3" w:rsidRDefault="006159E3" w:rsidP="005E4111">
                  <w:pPr>
                    <w:jc w:val="both"/>
                  </w:pPr>
                </w:p>
              </w:tc>
              <w:tc>
                <w:tcPr>
                  <w:tcW w:w="349" w:type="pct"/>
                </w:tcPr>
                <w:p w:rsidR="006159E3" w:rsidRDefault="006159E3" w:rsidP="005E4111">
                  <w:pPr>
                    <w:jc w:val="both"/>
                  </w:pPr>
                  <w:r>
                    <w:t>2</w:t>
                  </w:r>
                </w:p>
              </w:tc>
            </w:tr>
            <w:tr w:rsidR="006159E3" w:rsidTr="005E4111">
              <w:tc>
                <w:tcPr>
                  <w:tcW w:w="2896" w:type="pct"/>
                </w:tcPr>
                <w:p w:rsidR="006159E3" w:rsidRDefault="006159E3" w:rsidP="005E4111">
                  <w:pPr>
                    <w:jc w:val="both"/>
                  </w:pPr>
                  <w:r>
                    <w:t>£30,001 - £40,000</w:t>
                  </w:r>
                </w:p>
              </w:tc>
              <w:tc>
                <w:tcPr>
                  <w:tcW w:w="351" w:type="pct"/>
                </w:tcPr>
                <w:p w:rsidR="006159E3" w:rsidRDefault="006159E3" w:rsidP="005E4111">
                  <w:pPr>
                    <w:jc w:val="both"/>
                  </w:pPr>
                </w:p>
              </w:tc>
              <w:tc>
                <w:tcPr>
                  <w:tcW w:w="351" w:type="pct"/>
                </w:tcPr>
                <w:p w:rsidR="006159E3" w:rsidRDefault="006159E3" w:rsidP="005E4111">
                  <w:pPr>
                    <w:jc w:val="both"/>
                  </w:pPr>
                </w:p>
              </w:tc>
              <w:tc>
                <w:tcPr>
                  <w:tcW w:w="351" w:type="pct"/>
                </w:tcPr>
                <w:p w:rsidR="006159E3" w:rsidRDefault="006159E3" w:rsidP="005E4111">
                  <w:pPr>
                    <w:jc w:val="both"/>
                  </w:pPr>
                  <w:r>
                    <w:t>2</w:t>
                  </w:r>
                </w:p>
              </w:tc>
              <w:tc>
                <w:tcPr>
                  <w:tcW w:w="351" w:type="pct"/>
                </w:tcPr>
                <w:p w:rsidR="006159E3" w:rsidRDefault="006159E3" w:rsidP="005E4111">
                  <w:pPr>
                    <w:jc w:val="both"/>
                  </w:pPr>
                </w:p>
              </w:tc>
              <w:tc>
                <w:tcPr>
                  <w:tcW w:w="351" w:type="pct"/>
                </w:tcPr>
                <w:p w:rsidR="006159E3" w:rsidRDefault="006159E3" w:rsidP="005E4111">
                  <w:pPr>
                    <w:jc w:val="both"/>
                  </w:pPr>
                </w:p>
              </w:tc>
              <w:tc>
                <w:tcPr>
                  <w:tcW w:w="349" w:type="pct"/>
                </w:tcPr>
                <w:p w:rsidR="006159E3" w:rsidRDefault="006159E3" w:rsidP="005E4111">
                  <w:pPr>
                    <w:jc w:val="both"/>
                  </w:pPr>
                  <w:r>
                    <w:t>2</w:t>
                  </w:r>
                </w:p>
              </w:tc>
            </w:tr>
            <w:tr w:rsidR="006159E3" w:rsidTr="005E4111">
              <w:tc>
                <w:tcPr>
                  <w:tcW w:w="2896" w:type="pct"/>
                </w:tcPr>
                <w:p w:rsidR="006159E3" w:rsidRDefault="006159E3" w:rsidP="005E4111">
                  <w:pPr>
                    <w:jc w:val="both"/>
                  </w:pPr>
                  <w:r>
                    <w:t>£40,001 - £50,000</w:t>
                  </w:r>
                </w:p>
              </w:tc>
              <w:tc>
                <w:tcPr>
                  <w:tcW w:w="351" w:type="pct"/>
                </w:tcPr>
                <w:p w:rsidR="006159E3" w:rsidRDefault="006159E3" w:rsidP="005E4111">
                  <w:pPr>
                    <w:jc w:val="both"/>
                  </w:pPr>
                  <w:r>
                    <w:t>1</w:t>
                  </w:r>
                </w:p>
              </w:tc>
              <w:tc>
                <w:tcPr>
                  <w:tcW w:w="351" w:type="pct"/>
                </w:tcPr>
                <w:p w:rsidR="006159E3" w:rsidRDefault="006159E3" w:rsidP="005E4111">
                  <w:pPr>
                    <w:jc w:val="both"/>
                  </w:pPr>
                </w:p>
              </w:tc>
              <w:tc>
                <w:tcPr>
                  <w:tcW w:w="351" w:type="pct"/>
                </w:tcPr>
                <w:p w:rsidR="006159E3" w:rsidRDefault="006159E3" w:rsidP="005E4111">
                  <w:pPr>
                    <w:jc w:val="both"/>
                  </w:pPr>
                  <w:r>
                    <w:t>1</w:t>
                  </w:r>
                </w:p>
              </w:tc>
              <w:tc>
                <w:tcPr>
                  <w:tcW w:w="351" w:type="pct"/>
                </w:tcPr>
                <w:p w:rsidR="006159E3" w:rsidRDefault="006159E3" w:rsidP="005E4111">
                  <w:pPr>
                    <w:jc w:val="both"/>
                  </w:pPr>
                  <w:r>
                    <w:t>2</w:t>
                  </w:r>
                </w:p>
              </w:tc>
              <w:tc>
                <w:tcPr>
                  <w:tcW w:w="351" w:type="pct"/>
                </w:tcPr>
                <w:p w:rsidR="006159E3" w:rsidRDefault="006159E3" w:rsidP="005E4111">
                  <w:pPr>
                    <w:jc w:val="both"/>
                  </w:pPr>
                </w:p>
              </w:tc>
              <w:tc>
                <w:tcPr>
                  <w:tcW w:w="349" w:type="pct"/>
                </w:tcPr>
                <w:p w:rsidR="006159E3" w:rsidRDefault="006159E3" w:rsidP="005E4111">
                  <w:pPr>
                    <w:jc w:val="both"/>
                  </w:pPr>
                  <w:r>
                    <w:t>4</w:t>
                  </w:r>
                </w:p>
              </w:tc>
            </w:tr>
            <w:tr w:rsidR="006159E3" w:rsidTr="005E4111">
              <w:tc>
                <w:tcPr>
                  <w:tcW w:w="2896" w:type="pct"/>
                </w:tcPr>
                <w:p w:rsidR="006159E3" w:rsidRDefault="006159E3" w:rsidP="005E4111">
                  <w:pPr>
                    <w:jc w:val="both"/>
                  </w:pPr>
                  <w:r>
                    <w:t>£50,001 - £60,000</w:t>
                  </w:r>
                </w:p>
              </w:tc>
              <w:tc>
                <w:tcPr>
                  <w:tcW w:w="351" w:type="pct"/>
                </w:tcPr>
                <w:p w:rsidR="006159E3" w:rsidRDefault="006159E3" w:rsidP="005E4111">
                  <w:pPr>
                    <w:jc w:val="both"/>
                  </w:pPr>
                </w:p>
              </w:tc>
              <w:tc>
                <w:tcPr>
                  <w:tcW w:w="351" w:type="pct"/>
                </w:tcPr>
                <w:p w:rsidR="006159E3" w:rsidRDefault="006159E3" w:rsidP="005E4111">
                  <w:pPr>
                    <w:jc w:val="both"/>
                  </w:pPr>
                </w:p>
              </w:tc>
              <w:tc>
                <w:tcPr>
                  <w:tcW w:w="351" w:type="pct"/>
                </w:tcPr>
                <w:p w:rsidR="006159E3" w:rsidRDefault="006159E3" w:rsidP="005E4111">
                  <w:pPr>
                    <w:jc w:val="both"/>
                  </w:pPr>
                </w:p>
              </w:tc>
              <w:tc>
                <w:tcPr>
                  <w:tcW w:w="351" w:type="pct"/>
                </w:tcPr>
                <w:p w:rsidR="006159E3" w:rsidRDefault="006159E3" w:rsidP="005E4111">
                  <w:pPr>
                    <w:jc w:val="both"/>
                  </w:pPr>
                  <w:r>
                    <w:t>2</w:t>
                  </w:r>
                </w:p>
              </w:tc>
              <w:tc>
                <w:tcPr>
                  <w:tcW w:w="351" w:type="pct"/>
                </w:tcPr>
                <w:p w:rsidR="006159E3" w:rsidRDefault="006159E3" w:rsidP="005E4111">
                  <w:pPr>
                    <w:jc w:val="both"/>
                  </w:pPr>
                </w:p>
              </w:tc>
              <w:tc>
                <w:tcPr>
                  <w:tcW w:w="349" w:type="pct"/>
                </w:tcPr>
                <w:p w:rsidR="006159E3" w:rsidRDefault="006159E3" w:rsidP="005E4111">
                  <w:pPr>
                    <w:jc w:val="both"/>
                  </w:pPr>
                  <w:r>
                    <w:t>2</w:t>
                  </w:r>
                </w:p>
              </w:tc>
            </w:tr>
            <w:tr w:rsidR="006159E3" w:rsidTr="005E4111">
              <w:tc>
                <w:tcPr>
                  <w:tcW w:w="2896" w:type="pct"/>
                </w:tcPr>
                <w:p w:rsidR="006159E3" w:rsidRDefault="006159E3" w:rsidP="005E4111">
                  <w:pPr>
                    <w:jc w:val="both"/>
                  </w:pPr>
                  <w:r>
                    <w:t>£70,000+</w:t>
                  </w:r>
                </w:p>
              </w:tc>
              <w:tc>
                <w:tcPr>
                  <w:tcW w:w="351" w:type="pct"/>
                </w:tcPr>
                <w:p w:rsidR="006159E3" w:rsidRDefault="006159E3" w:rsidP="005E4111">
                  <w:pPr>
                    <w:jc w:val="both"/>
                  </w:pPr>
                </w:p>
              </w:tc>
              <w:tc>
                <w:tcPr>
                  <w:tcW w:w="351" w:type="pct"/>
                </w:tcPr>
                <w:p w:rsidR="006159E3" w:rsidRDefault="006159E3" w:rsidP="005E4111">
                  <w:pPr>
                    <w:jc w:val="both"/>
                  </w:pPr>
                  <w:r>
                    <w:t>1</w:t>
                  </w:r>
                </w:p>
              </w:tc>
              <w:tc>
                <w:tcPr>
                  <w:tcW w:w="351" w:type="pct"/>
                </w:tcPr>
                <w:p w:rsidR="006159E3" w:rsidRDefault="006159E3" w:rsidP="005E4111">
                  <w:pPr>
                    <w:jc w:val="both"/>
                  </w:pPr>
                </w:p>
              </w:tc>
              <w:tc>
                <w:tcPr>
                  <w:tcW w:w="351" w:type="pct"/>
                </w:tcPr>
                <w:p w:rsidR="006159E3" w:rsidRDefault="006159E3" w:rsidP="005E4111">
                  <w:pPr>
                    <w:jc w:val="both"/>
                  </w:pPr>
                </w:p>
              </w:tc>
              <w:tc>
                <w:tcPr>
                  <w:tcW w:w="351" w:type="pct"/>
                </w:tcPr>
                <w:p w:rsidR="006159E3" w:rsidRDefault="006159E3" w:rsidP="005E4111">
                  <w:pPr>
                    <w:jc w:val="both"/>
                  </w:pPr>
                </w:p>
              </w:tc>
              <w:tc>
                <w:tcPr>
                  <w:tcW w:w="349" w:type="pct"/>
                </w:tcPr>
                <w:p w:rsidR="006159E3" w:rsidRDefault="006159E3" w:rsidP="005E4111">
                  <w:pPr>
                    <w:jc w:val="both"/>
                  </w:pPr>
                  <w:r>
                    <w:t>1</w:t>
                  </w:r>
                </w:p>
              </w:tc>
            </w:tr>
          </w:tbl>
          <w:p w:rsidR="006159E3" w:rsidRDefault="006159E3" w:rsidP="005E4111">
            <w:pPr>
              <w:jc w:val="both"/>
            </w:pPr>
          </w:p>
          <w:p w:rsidR="006159E3" w:rsidRPr="00204567" w:rsidRDefault="006159E3" w:rsidP="005E4111">
            <w:pPr>
              <w:jc w:val="both"/>
              <w:rPr>
                <w:b/>
              </w:rPr>
            </w:pPr>
            <w:r w:rsidRPr="00204567">
              <w:rPr>
                <w:b/>
              </w:rPr>
              <w:t xml:space="preserve">Welsh medium childcare provision. </w:t>
            </w:r>
          </w:p>
          <w:p w:rsidR="006159E3" w:rsidRDefault="006159E3" w:rsidP="005E4111">
            <w:pPr>
              <w:jc w:val="both"/>
            </w:pPr>
          </w:p>
          <w:p w:rsidR="006159E3" w:rsidRDefault="006159E3" w:rsidP="005E4111">
            <w:pPr>
              <w:jc w:val="both"/>
            </w:pPr>
            <w:r>
              <w:t>One resident in CF35 stated they did not use childcare as there was no suitable Welsh Medium provision in their area. This was also supported by respondents from CF35 having the lowest level of satisfaction (57%) for the statement regarding having enough childcare in the language of their choice, against an average of 70 per cent.</w:t>
            </w:r>
          </w:p>
          <w:p w:rsidR="006159E3" w:rsidRDefault="006159E3" w:rsidP="005E4111">
            <w:pPr>
              <w:tabs>
                <w:tab w:val="left" w:pos="4395"/>
              </w:tabs>
              <w:jc w:val="both"/>
            </w:pPr>
          </w:p>
          <w:p w:rsidR="006159E3" w:rsidRDefault="006159E3" w:rsidP="005E4111">
            <w:pPr>
              <w:jc w:val="both"/>
              <w:rPr>
                <w:b/>
              </w:rPr>
            </w:pPr>
            <w:r>
              <w:rPr>
                <w:b/>
              </w:rPr>
              <w:t>Atypical childcare</w:t>
            </w:r>
          </w:p>
          <w:p w:rsidR="006159E3" w:rsidRDefault="006159E3" w:rsidP="005E4111">
            <w:pPr>
              <w:jc w:val="both"/>
              <w:rPr>
                <w:b/>
              </w:rPr>
            </w:pPr>
          </w:p>
          <w:p w:rsidR="006159E3" w:rsidRDefault="006159E3" w:rsidP="005E4111">
            <w:pPr>
              <w:jc w:val="both"/>
            </w:pPr>
            <w:r>
              <w:t xml:space="preserve">Two respondents stated they did not use childcare as it was not available during the hours they needed the support. </w:t>
            </w:r>
          </w:p>
          <w:p w:rsidR="006159E3" w:rsidRDefault="006159E3" w:rsidP="005E4111">
            <w:pPr>
              <w:jc w:val="both"/>
            </w:pPr>
          </w:p>
          <w:p w:rsidR="006159E3" w:rsidRDefault="006159E3" w:rsidP="005E4111">
            <w:pPr>
              <w:jc w:val="both"/>
            </w:pPr>
            <w:r>
              <w:t xml:space="preserve">One respondent lived in CF31 and requested care before 8am and after 6pm, including overnight and weekend care. </w:t>
            </w:r>
          </w:p>
          <w:p w:rsidR="006159E3" w:rsidRDefault="006159E3" w:rsidP="005E4111">
            <w:pPr>
              <w:jc w:val="both"/>
            </w:pPr>
            <w:r>
              <w:lastRenderedPageBreak/>
              <w:t>The other respondent lived in CF35 and requested care before 8am and after 5.30pm.</w:t>
            </w:r>
          </w:p>
          <w:p w:rsidR="006159E3" w:rsidRDefault="006159E3" w:rsidP="005E4111">
            <w:pPr>
              <w:jc w:val="both"/>
            </w:pPr>
          </w:p>
          <w:p w:rsidR="006159E3" w:rsidRPr="00A2078C" w:rsidRDefault="006159E3" w:rsidP="005E4111">
            <w:pPr>
              <w:jc w:val="both"/>
            </w:pPr>
            <w:r w:rsidRPr="00A2078C">
              <w:t xml:space="preserve">No overnight or weekend childcare is currently provided in Bridgend County Borough. </w:t>
            </w:r>
            <w:r w:rsidRPr="006B10C6">
              <w:t xml:space="preserve">None of the respondents indicated requiring this service in the future. </w:t>
            </w:r>
            <w:r>
              <w:t>However, parents are using other forms of childcare:</w:t>
            </w:r>
          </w:p>
          <w:p w:rsidR="006159E3" w:rsidRDefault="006159E3" w:rsidP="005E4111">
            <w:pPr>
              <w:jc w:val="both"/>
            </w:pPr>
          </w:p>
          <w:tbl>
            <w:tblPr>
              <w:tblStyle w:val="TableGrid"/>
              <w:tblW w:w="4997" w:type="pct"/>
              <w:tblLook w:val="04A0" w:firstRow="1" w:lastRow="0" w:firstColumn="1" w:lastColumn="0" w:noHBand="0" w:noVBand="1"/>
            </w:tblPr>
            <w:tblGrid>
              <w:gridCol w:w="2831"/>
              <w:gridCol w:w="1587"/>
              <w:gridCol w:w="1587"/>
              <w:gridCol w:w="1587"/>
              <w:gridCol w:w="1587"/>
              <w:gridCol w:w="1587"/>
              <w:gridCol w:w="1587"/>
              <w:gridCol w:w="1587"/>
            </w:tblGrid>
            <w:tr w:rsidR="006159E3" w:rsidTr="005E4111">
              <w:tc>
                <w:tcPr>
                  <w:tcW w:w="1015" w:type="pct"/>
                </w:tcPr>
                <w:p w:rsidR="006159E3" w:rsidRPr="006B10C6" w:rsidRDefault="006159E3" w:rsidP="005E4111">
                  <w:pPr>
                    <w:jc w:val="both"/>
                  </w:pPr>
                </w:p>
              </w:tc>
              <w:tc>
                <w:tcPr>
                  <w:tcW w:w="569" w:type="pct"/>
                  <w:vAlign w:val="center"/>
                </w:tcPr>
                <w:p w:rsidR="006159E3" w:rsidRPr="006B10C6" w:rsidRDefault="006159E3" w:rsidP="005E4111">
                  <w:pPr>
                    <w:jc w:val="both"/>
                  </w:pPr>
                  <w:r w:rsidRPr="006B10C6">
                    <w:t>Mon</w:t>
                  </w:r>
                </w:p>
              </w:tc>
              <w:tc>
                <w:tcPr>
                  <w:tcW w:w="569" w:type="pct"/>
                  <w:vAlign w:val="center"/>
                </w:tcPr>
                <w:p w:rsidR="006159E3" w:rsidRPr="006B10C6" w:rsidRDefault="006159E3" w:rsidP="005E4111">
                  <w:pPr>
                    <w:jc w:val="both"/>
                  </w:pPr>
                  <w:r w:rsidRPr="006B10C6">
                    <w:t>Tues</w:t>
                  </w:r>
                </w:p>
              </w:tc>
              <w:tc>
                <w:tcPr>
                  <w:tcW w:w="569" w:type="pct"/>
                  <w:vAlign w:val="center"/>
                </w:tcPr>
                <w:p w:rsidR="006159E3" w:rsidRPr="006B10C6" w:rsidRDefault="006159E3" w:rsidP="005E4111">
                  <w:pPr>
                    <w:jc w:val="both"/>
                  </w:pPr>
                  <w:r w:rsidRPr="006B10C6">
                    <w:t>Wed</w:t>
                  </w:r>
                </w:p>
              </w:tc>
              <w:tc>
                <w:tcPr>
                  <w:tcW w:w="569" w:type="pct"/>
                  <w:vAlign w:val="center"/>
                </w:tcPr>
                <w:p w:rsidR="006159E3" w:rsidRPr="006B10C6" w:rsidRDefault="006159E3" w:rsidP="005E4111">
                  <w:pPr>
                    <w:jc w:val="both"/>
                  </w:pPr>
                  <w:r w:rsidRPr="006B10C6">
                    <w:t>Thurs</w:t>
                  </w:r>
                </w:p>
              </w:tc>
              <w:tc>
                <w:tcPr>
                  <w:tcW w:w="569" w:type="pct"/>
                  <w:vAlign w:val="center"/>
                </w:tcPr>
                <w:p w:rsidR="006159E3" w:rsidRPr="006B10C6" w:rsidRDefault="006159E3" w:rsidP="005E4111">
                  <w:pPr>
                    <w:jc w:val="both"/>
                  </w:pPr>
                  <w:r w:rsidRPr="006B10C6">
                    <w:t>Fri</w:t>
                  </w:r>
                </w:p>
              </w:tc>
              <w:tc>
                <w:tcPr>
                  <w:tcW w:w="569" w:type="pct"/>
                  <w:vAlign w:val="center"/>
                </w:tcPr>
                <w:p w:rsidR="006159E3" w:rsidRPr="006B10C6" w:rsidRDefault="006159E3" w:rsidP="005E4111">
                  <w:pPr>
                    <w:jc w:val="both"/>
                  </w:pPr>
                  <w:r w:rsidRPr="006B10C6">
                    <w:t>Sat</w:t>
                  </w:r>
                </w:p>
              </w:tc>
              <w:tc>
                <w:tcPr>
                  <w:tcW w:w="569" w:type="pct"/>
                  <w:vAlign w:val="center"/>
                </w:tcPr>
                <w:p w:rsidR="006159E3" w:rsidRPr="006B10C6" w:rsidRDefault="006159E3" w:rsidP="005E4111">
                  <w:pPr>
                    <w:jc w:val="both"/>
                  </w:pPr>
                  <w:r w:rsidRPr="006B10C6">
                    <w:t>Sun</w:t>
                  </w:r>
                </w:p>
              </w:tc>
            </w:tr>
            <w:tr w:rsidR="006159E3" w:rsidTr="005E4111">
              <w:tc>
                <w:tcPr>
                  <w:tcW w:w="1015" w:type="pct"/>
                </w:tcPr>
                <w:p w:rsidR="006159E3" w:rsidRPr="006B10C6" w:rsidRDefault="006159E3" w:rsidP="005E4111">
                  <w:pPr>
                    <w:jc w:val="both"/>
                  </w:pPr>
                  <w:r w:rsidRPr="006B10C6">
                    <w:t>Overnight (6pm – 7am)</w:t>
                  </w:r>
                </w:p>
              </w:tc>
              <w:tc>
                <w:tcPr>
                  <w:tcW w:w="569" w:type="pct"/>
                  <w:vAlign w:val="center"/>
                </w:tcPr>
                <w:p w:rsidR="006159E3" w:rsidRPr="006B10C6" w:rsidRDefault="006159E3" w:rsidP="005E4111">
                  <w:pPr>
                    <w:jc w:val="both"/>
                  </w:pPr>
                  <w:r w:rsidRPr="006B10C6">
                    <w:t>2</w:t>
                  </w:r>
                </w:p>
              </w:tc>
              <w:tc>
                <w:tcPr>
                  <w:tcW w:w="569" w:type="pct"/>
                  <w:vAlign w:val="center"/>
                </w:tcPr>
                <w:p w:rsidR="006159E3" w:rsidRPr="006B10C6" w:rsidRDefault="006159E3" w:rsidP="005E4111">
                  <w:pPr>
                    <w:jc w:val="both"/>
                  </w:pPr>
                  <w:r w:rsidRPr="006B10C6">
                    <w:t>2</w:t>
                  </w:r>
                </w:p>
              </w:tc>
              <w:tc>
                <w:tcPr>
                  <w:tcW w:w="569" w:type="pct"/>
                  <w:vAlign w:val="center"/>
                </w:tcPr>
                <w:p w:rsidR="006159E3" w:rsidRPr="006B10C6" w:rsidRDefault="006159E3" w:rsidP="005E4111">
                  <w:pPr>
                    <w:jc w:val="both"/>
                  </w:pPr>
                  <w:r w:rsidRPr="006B10C6">
                    <w:t>3</w:t>
                  </w:r>
                </w:p>
              </w:tc>
              <w:tc>
                <w:tcPr>
                  <w:tcW w:w="569" w:type="pct"/>
                  <w:vAlign w:val="center"/>
                </w:tcPr>
                <w:p w:rsidR="006159E3" w:rsidRPr="006B10C6" w:rsidRDefault="006159E3" w:rsidP="005E4111">
                  <w:pPr>
                    <w:jc w:val="both"/>
                  </w:pPr>
                  <w:r w:rsidRPr="006B10C6">
                    <w:t>1</w:t>
                  </w:r>
                </w:p>
              </w:tc>
              <w:tc>
                <w:tcPr>
                  <w:tcW w:w="569" w:type="pct"/>
                  <w:vAlign w:val="center"/>
                </w:tcPr>
                <w:p w:rsidR="006159E3" w:rsidRPr="006B10C6" w:rsidRDefault="006159E3" w:rsidP="005E4111">
                  <w:pPr>
                    <w:jc w:val="both"/>
                  </w:pPr>
                  <w:r w:rsidRPr="006B10C6">
                    <w:t>3</w:t>
                  </w:r>
                </w:p>
              </w:tc>
              <w:tc>
                <w:tcPr>
                  <w:tcW w:w="569" w:type="pct"/>
                  <w:vAlign w:val="center"/>
                </w:tcPr>
                <w:p w:rsidR="006159E3" w:rsidRPr="006B10C6" w:rsidRDefault="006159E3" w:rsidP="005E4111">
                  <w:pPr>
                    <w:jc w:val="both"/>
                  </w:pPr>
                  <w:r w:rsidRPr="006B10C6">
                    <w:t>2</w:t>
                  </w:r>
                </w:p>
              </w:tc>
              <w:tc>
                <w:tcPr>
                  <w:tcW w:w="569" w:type="pct"/>
                  <w:vAlign w:val="center"/>
                </w:tcPr>
                <w:p w:rsidR="006159E3" w:rsidRPr="006B10C6" w:rsidRDefault="006159E3" w:rsidP="005E4111">
                  <w:pPr>
                    <w:jc w:val="both"/>
                  </w:pPr>
                  <w:r w:rsidRPr="006B10C6">
                    <w:t>1</w:t>
                  </w:r>
                </w:p>
              </w:tc>
            </w:tr>
          </w:tbl>
          <w:p w:rsidR="006159E3" w:rsidRDefault="006159E3" w:rsidP="005E4111">
            <w:pPr>
              <w:jc w:val="both"/>
            </w:pPr>
          </w:p>
          <w:p w:rsidR="006159E3" w:rsidRPr="00A2078C" w:rsidRDefault="006159E3" w:rsidP="005E4111">
            <w:pPr>
              <w:jc w:val="both"/>
              <w:rPr>
                <w:b/>
              </w:rPr>
            </w:pPr>
            <w:r w:rsidRPr="00A2078C">
              <w:rPr>
                <w:b/>
              </w:rPr>
              <w:t>Care during school holidays</w:t>
            </w:r>
          </w:p>
          <w:p w:rsidR="006159E3" w:rsidRDefault="006159E3" w:rsidP="005E4111">
            <w:pPr>
              <w:jc w:val="both"/>
            </w:pPr>
          </w:p>
          <w:p w:rsidR="006159E3" w:rsidRDefault="006159E3" w:rsidP="005E4111">
            <w:pPr>
              <w:jc w:val="both"/>
            </w:pPr>
            <w:r>
              <w:t xml:space="preserve">Overall, the majority of respondents (71%) were satisfied with the quality of childcare during the school holiday period. This was significantly lower in CF34 with only one in three (33%) stating they were satisfied with the school holiday childcare. </w:t>
            </w:r>
          </w:p>
          <w:p w:rsidR="006159E3" w:rsidRPr="007245A5" w:rsidRDefault="006159E3" w:rsidP="005E4111">
            <w:pPr>
              <w:jc w:val="both"/>
            </w:pPr>
          </w:p>
          <w:p w:rsidR="006159E3" w:rsidRPr="004B4EE9" w:rsidRDefault="006159E3" w:rsidP="005E4111">
            <w:pPr>
              <w:jc w:val="both"/>
              <w:rPr>
                <w:b/>
              </w:rPr>
            </w:pPr>
            <w:r w:rsidRPr="004B4EE9">
              <w:rPr>
                <w:b/>
              </w:rPr>
              <w:t>Childcare for children with additional needs</w:t>
            </w:r>
          </w:p>
          <w:p w:rsidR="006159E3" w:rsidRDefault="006159E3" w:rsidP="005E4111">
            <w:pPr>
              <w:jc w:val="both"/>
            </w:pPr>
          </w:p>
          <w:p w:rsidR="006159E3" w:rsidRDefault="006159E3" w:rsidP="005E4111">
            <w:pPr>
              <w:jc w:val="both"/>
            </w:pPr>
            <w:r>
              <w:t xml:space="preserve">Three respondents stated they could not access childcare based upon their child’s additional needs. Of the three, two had defined their child’s disability as speech and language living in the CF32/CF39 and CF35 postcode areas. The final respondent defined their child’s disability as dyslexia living in the CF34 area of the county borough. </w:t>
            </w:r>
          </w:p>
          <w:p w:rsidR="006159E3" w:rsidRPr="00ED546A" w:rsidRDefault="006159E3" w:rsidP="005E4111">
            <w:pPr>
              <w:jc w:val="both"/>
            </w:pPr>
          </w:p>
          <w:p w:rsidR="006159E3" w:rsidRDefault="006159E3" w:rsidP="005E4111">
            <w:pPr>
              <w:jc w:val="both"/>
            </w:pPr>
            <w:r>
              <w:t>One respondent wanted childcare in British Sign Language.</w:t>
            </w:r>
          </w:p>
          <w:p w:rsidR="006159E3" w:rsidRDefault="006159E3" w:rsidP="005E4111">
            <w:pPr>
              <w:jc w:val="both"/>
              <w:rPr>
                <w:highlight w:val="yellow"/>
              </w:rPr>
            </w:pPr>
          </w:p>
          <w:p w:rsidR="006159E3" w:rsidRDefault="006159E3" w:rsidP="005E4111">
            <w:pPr>
              <w:jc w:val="both"/>
              <w:rPr>
                <w:b/>
              </w:rPr>
            </w:pPr>
            <w:r>
              <w:rPr>
                <w:b/>
              </w:rPr>
              <w:t>Wrap around care</w:t>
            </w:r>
          </w:p>
          <w:p w:rsidR="006159E3" w:rsidRDefault="006159E3" w:rsidP="005E4111">
            <w:pPr>
              <w:jc w:val="both"/>
              <w:rPr>
                <w:b/>
              </w:rPr>
            </w:pPr>
          </w:p>
          <w:p w:rsidR="006159E3" w:rsidRDefault="006159E3" w:rsidP="005E4111">
            <w:pPr>
              <w:jc w:val="both"/>
            </w:pPr>
            <w:r>
              <w:t xml:space="preserve">All areas referenced the requirement for more wrap around care. This should also support a minority of respondents who stated that the childcare currently provided was a barrier to them accessing employment and training opportunities, largely in the CF33 (64%) and CF34 (67%) areas. CF34 respondents also had a lower confidence in their childcare arrangements as 83 per cent stated they had problems with unreliable childcare, this was significantly higher than the average of 35 per cent. </w:t>
            </w:r>
          </w:p>
          <w:p w:rsidR="006159E3" w:rsidRDefault="006159E3" w:rsidP="005E4111">
            <w:pPr>
              <w:jc w:val="both"/>
            </w:pPr>
          </w:p>
          <w:p w:rsidR="006159E3" w:rsidRPr="00340A6E" w:rsidRDefault="006159E3" w:rsidP="005E4111">
            <w:pPr>
              <w:jc w:val="both"/>
              <w:rPr>
                <w:b/>
              </w:rPr>
            </w:pPr>
            <w:r w:rsidRPr="00340A6E">
              <w:rPr>
                <w:b/>
              </w:rPr>
              <w:t>Childcare time requests</w:t>
            </w:r>
          </w:p>
          <w:p w:rsidR="006159E3" w:rsidRDefault="006159E3" w:rsidP="005E4111"/>
          <w:p w:rsidR="006159E3" w:rsidRDefault="006159E3" w:rsidP="005E4111">
            <w:r>
              <w:t>Of those who did not use childcare, these are the times they would if it was provided:</w:t>
            </w:r>
          </w:p>
          <w:p w:rsidR="006159E3" w:rsidRDefault="006159E3" w:rsidP="005E4111"/>
          <w:tbl>
            <w:tblPr>
              <w:tblStyle w:val="TableGrid"/>
              <w:tblW w:w="11053" w:type="dxa"/>
              <w:tblLook w:val="04A0" w:firstRow="1" w:lastRow="0" w:firstColumn="1" w:lastColumn="0" w:noHBand="0" w:noVBand="1"/>
            </w:tblPr>
            <w:tblGrid>
              <w:gridCol w:w="2551"/>
              <w:gridCol w:w="1417"/>
              <w:gridCol w:w="1417"/>
              <w:gridCol w:w="1417"/>
              <w:gridCol w:w="1417"/>
              <w:gridCol w:w="1417"/>
              <w:gridCol w:w="1417"/>
            </w:tblGrid>
            <w:tr w:rsidR="006159E3" w:rsidTr="005E4111">
              <w:tc>
                <w:tcPr>
                  <w:tcW w:w="2551" w:type="dxa"/>
                </w:tcPr>
                <w:p w:rsidR="006159E3" w:rsidRDefault="006159E3" w:rsidP="005E4111"/>
              </w:tc>
              <w:tc>
                <w:tcPr>
                  <w:tcW w:w="1417" w:type="dxa"/>
                  <w:vAlign w:val="center"/>
                </w:tcPr>
                <w:p w:rsidR="006159E3" w:rsidRPr="00D67422" w:rsidRDefault="006159E3" w:rsidP="005E4111">
                  <w:pPr>
                    <w:jc w:val="center"/>
                    <w:rPr>
                      <w:rFonts w:ascii="Calibri" w:hAnsi="Calibri"/>
                      <w:b/>
                      <w:bCs/>
                      <w:color w:val="000000"/>
                      <w:sz w:val="22"/>
                      <w:szCs w:val="22"/>
                    </w:rPr>
                  </w:pPr>
                  <w:r w:rsidRPr="00D67422">
                    <w:rPr>
                      <w:rFonts w:ascii="Calibri" w:hAnsi="Calibri"/>
                      <w:b/>
                      <w:bCs/>
                      <w:color w:val="000000"/>
                      <w:sz w:val="22"/>
                      <w:szCs w:val="22"/>
                    </w:rPr>
                    <w:t>CF31</w:t>
                  </w:r>
                </w:p>
              </w:tc>
              <w:tc>
                <w:tcPr>
                  <w:tcW w:w="1417" w:type="dxa"/>
                  <w:vAlign w:val="center"/>
                </w:tcPr>
                <w:p w:rsidR="006159E3" w:rsidRPr="00D67422" w:rsidRDefault="006159E3" w:rsidP="005E4111">
                  <w:pPr>
                    <w:jc w:val="center"/>
                    <w:rPr>
                      <w:rFonts w:ascii="Calibri" w:hAnsi="Calibri"/>
                      <w:b/>
                      <w:bCs/>
                      <w:color w:val="000000"/>
                      <w:sz w:val="22"/>
                      <w:szCs w:val="22"/>
                    </w:rPr>
                  </w:pPr>
                  <w:r w:rsidRPr="00D67422">
                    <w:rPr>
                      <w:rFonts w:ascii="Calibri" w:hAnsi="Calibri"/>
                      <w:b/>
                      <w:bCs/>
                      <w:color w:val="000000"/>
                      <w:sz w:val="22"/>
                      <w:szCs w:val="22"/>
                    </w:rPr>
                    <w:t>CF32</w:t>
                  </w:r>
                  <w:r>
                    <w:rPr>
                      <w:rFonts w:ascii="Calibri" w:hAnsi="Calibri"/>
                      <w:b/>
                      <w:bCs/>
                      <w:color w:val="000000"/>
                      <w:sz w:val="22"/>
                      <w:szCs w:val="22"/>
                    </w:rPr>
                    <w:t>/CF39</w:t>
                  </w:r>
                </w:p>
              </w:tc>
              <w:tc>
                <w:tcPr>
                  <w:tcW w:w="1417" w:type="dxa"/>
                  <w:vAlign w:val="center"/>
                </w:tcPr>
                <w:p w:rsidR="006159E3" w:rsidRPr="00D67422" w:rsidRDefault="006159E3" w:rsidP="005E4111">
                  <w:pPr>
                    <w:jc w:val="center"/>
                    <w:rPr>
                      <w:rFonts w:ascii="Calibri" w:hAnsi="Calibri"/>
                      <w:b/>
                      <w:bCs/>
                      <w:color w:val="000000"/>
                      <w:sz w:val="22"/>
                      <w:szCs w:val="22"/>
                    </w:rPr>
                  </w:pPr>
                  <w:r w:rsidRPr="00D67422">
                    <w:rPr>
                      <w:rFonts w:ascii="Calibri" w:hAnsi="Calibri"/>
                      <w:b/>
                      <w:bCs/>
                      <w:color w:val="000000"/>
                      <w:sz w:val="22"/>
                      <w:szCs w:val="22"/>
                    </w:rPr>
                    <w:t>CF33</w:t>
                  </w:r>
                </w:p>
              </w:tc>
              <w:tc>
                <w:tcPr>
                  <w:tcW w:w="1417" w:type="dxa"/>
                  <w:vAlign w:val="center"/>
                </w:tcPr>
                <w:p w:rsidR="006159E3" w:rsidRPr="00D67422" w:rsidRDefault="006159E3" w:rsidP="005E4111">
                  <w:pPr>
                    <w:jc w:val="center"/>
                    <w:rPr>
                      <w:rFonts w:ascii="Calibri" w:hAnsi="Calibri"/>
                      <w:b/>
                      <w:bCs/>
                      <w:color w:val="000000"/>
                      <w:sz w:val="22"/>
                      <w:szCs w:val="22"/>
                    </w:rPr>
                  </w:pPr>
                  <w:r w:rsidRPr="00D67422">
                    <w:rPr>
                      <w:rFonts w:ascii="Calibri" w:hAnsi="Calibri"/>
                      <w:b/>
                      <w:bCs/>
                      <w:color w:val="000000"/>
                      <w:sz w:val="22"/>
                      <w:szCs w:val="22"/>
                    </w:rPr>
                    <w:t>CF34</w:t>
                  </w:r>
                </w:p>
              </w:tc>
              <w:tc>
                <w:tcPr>
                  <w:tcW w:w="1417" w:type="dxa"/>
                  <w:vAlign w:val="center"/>
                </w:tcPr>
                <w:p w:rsidR="006159E3" w:rsidRPr="00D67422" w:rsidRDefault="006159E3" w:rsidP="005E4111">
                  <w:pPr>
                    <w:jc w:val="center"/>
                    <w:rPr>
                      <w:rFonts w:ascii="Calibri" w:hAnsi="Calibri"/>
                      <w:b/>
                      <w:bCs/>
                      <w:color w:val="000000"/>
                      <w:sz w:val="22"/>
                      <w:szCs w:val="22"/>
                    </w:rPr>
                  </w:pPr>
                  <w:r w:rsidRPr="00D67422">
                    <w:rPr>
                      <w:rFonts w:ascii="Calibri" w:hAnsi="Calibri"/>
                      <w:b/>
                      <w:bCs/>
                      <w:color w:val="000000"/>
                      <w:sz w:val="22"/>
                      <w:szCs w:val="22"/>
                    </w:rPr>
                    <w:t>CF35</w:t>
                  </w:r>
                </w:p>
              </w:tc>
              <w:tc>
                <w:tcPr>
                  <w:tcW w:w="1417" w:type="dxa"/>
                  <w:vAlign w:val="center"/>
                </w:tcPr>
                <w:p w:rsidR="006159E3" w:rsidRPr="00D67422" w:rsidRDefault="006159E3" w:rsidP="005E4111">
                  <w:pPr>
                    <w:jc w:val="center"/>
                    <w:rPr>
                      <w:rFonts w:ascii="Calibri" w:hAnsi="Calibri"/>
                      <w:b/>
                      <w:bCs/>
                      <w:color w:val="000000"/>
                      <w:sz w:val="22"/>
                      <w:szCs w:val="22"/>
                    </w:rPr>
                  </w:pPr>
                  <w:r w:rsidRPr="00D67422">
                    <w:rPr>
                      <w:rFonts w:ascii="Calibri" w:hAnsi="Calibri"/>
                      <w:b/>
                      <w:bCs/>
                      <w:color w:val="000000"/>
                      <w:sz w:val="22"/>
                      <w:szCs w:val="22"/>
                    </w:rPr>
                    <w:t>CF36</w:t>
                  </w:r>
                </w:p>
              </w:tc>
            </w:tr>
            <w:tr w:rsidR="006159E3" w:rsidTr="005E4111">
              <w:tc>
                <w:tcPr>
                  <w:tcW w:w="2551" w:type="dxa"/>
                  <w:vAlign w:val="bottom"/>
                </w:tcPr>
                <w:p w:rsidR="006159E3" w:rsidRPr="00D67422" w:rsidRDefault="006159E3" w:rsidP="005E4111">
                  <w:pPr>
                    <w:rPr>
                      <w:rFonts w:ascii="Calibri" w:hAnsi="Calibri"/>
                      <w:color w:val="000000"/>
                      <w:sz w:val="22"/>
                      <w:szCs w:val="22"/>
                    </w:rPr>
                  </w:pPr>
                  <w:r w:rsidRPr="00D67422">
                    <w:rPr>
                      <w:rFonts w:ascii="Calibri" w:hAnsi="Calibri"/>
                      <w:color w:val="000000"/>
                      <w:sz w:val="22"/>
                      <w:szCs w:val="22"/>
                    </w:rPr>
                    <w:t>Before 8am</w:t>
                  </w:r>
                </w:p>
              </w:tc>
              <w:tc>
                <w:tcPr>
                  <w:tcW w:w="1417" w:type="dxa"/>
                  <w:vAlign w:val="center"/>
                </w:tcPr>
                <w:p w:rsidR="006159E3" w:rsidRPr="00D67422" w:rsidRDefault="006159E3" w:rsidP="005E4111">
                  <w:pPr>
                    <w:jc w:val="center"/>
                    <w:rPr>
                      <w:rFonts w:ascii="Calibri" w:hAnsi="Calibri"/>
                      <w:color w:val="000000"/>
                      <w:sz w:val="22"/>
                      <w:szCs w:val="22"/>
                    </w:rPr>
                  </w:pPr>
                  <w:r w:rsidRPr="00D67422">
                    <w:rPr>
                      <w:rFonts w:ascii="Calibri" w:hAnsi="Calibri"/>
                      <w:color w:val="000000"/>
                      <w:sz w:val="22"/>
                      <w:szCs w:val="22"/>
                    </w:rPr>
                    <w:t>1</w:t>
                  </w:r>
                </w:p>
              </w:tc>
              <w:tc>
                <w:tcPr>
                  <w:tcW w:w="1417" w:type="dxa"/>
                  <w:vAlign w:val="center"/>
                </w:tcPr>
                <w:p w:rsidR="006159E3" w:rsidRPr="00D67422" w:rsidRDefault="006159E3" w:rsidP="005E4111">
                  <w:pPr>
                    <w:jc w:val="center"/>
                    <w:rPr>
                      <w:rFonts w:ascii="Calibri" w:hAnsi="Calibri"/>
                      <w:color w:val="000000"/>
                      <w:sz w:val="22"/>
                      <w:szCs w:val="22"/>
                    </w:rPr>
                  </w:pPr>
                  <w:r w:rsidRPr="00D67422">
                    <w:rPr>
                      <w:rFonts w:ascii="Calibri" w:hAnsi="Calibri"/>
                      <w:color w:val="000000"/>
                      <w:sz w:val="22"/>
                      <w:szCs w:val="22"/>
                    </w:rPr>
                    <w:t>1</w:t>
                  </w:r>
                </w:p>
              </w:tc>
              <w:tc>
                <w:tcPr>
                  <w:tcW w:w="1417" w:type="dxa"/>
                  <w:vAlign w:val="center"/>
                </w:tcPr>
                <w:p w:rsidR="006159E3" w:rsidRPr="00D67422" w:rsidRDefault="006159E3" w:rsidP="005E4111">
                  <w:pPr>
                    <w:jc w:val="center"/>
                    <w:rPr>
                      <w:rFonts w:ascii="Calibri" w:hAnsi="Calibri"/>
                      <w:color w:val="000000"/>
                      <w:sz w:val="22"/>
                      <w:szCs w:val="22"/>
                    </w:rPr>
                  </w:pPr>
                </w:p>
              </w:tc>
              <w:tc>
                <w:tcPr>
                  <w:tcW w:w="1417" w:type="dxa"/>
                  <w:vAlign w:val="center"/>
                </w:tcPr>
                <w:p w:rsidR="006159E3" w:rsidRPr="00D67422" w:rsidRDefault="006159E3" w:rsidP="005E4111">
                  <w:pPr>
                    <w:jc w:val="center"/>
                    <w:rPr>
                      <w:rFonts w:ascii="Calibri" w:hAnsi="Calibri"/>
                      <w:color w:val="000000"/>
                      <w:sz w:val="22"/>
                      <w:szCs w:val="22"/>
                    </w:rPr>
                  </w:pPr>
                  <w:r w:rsidRPr="00D67422">
                    <w:rPr>
                      <w:rFonts w:ascii="Calibri" w:hAnsi="Calibri"/>
                      <w:color w:val="000000"/>
                      <w:sz w:val="22"/>
                      <w:szCs w:val="22"/>
                    </w:rPr>
                    <w:t>1</w:t>
                  </w:r>
                </w:p>
              </w:tc>
              <w:tc>
                <w:tcPr>
                  <w:tcW w:w="1417" w:type="dxa"/>
                  <w:vAlign w:val="center"/>
                </w:tcPr>
                <w:p w:rsidR="006159E3" w:rsidRPr="00D67422" w:rsidRDefault="006159E3" w:rsidP="005E4111">
                  <w:pPr>
                    <w:jc w:val="center"/>
                    <w:rPr>
                      <w:rFonts w:ascii="Calibri" w:hAnsi="Calibri"/>
                      <w:color w:val="000000"/>
                      <w:sz w:val="22"/>
                      <w:szCs w:val="22"/>
                    </w:rPr>
                  </w:pPr>
                  <w:r w:rsidRPr="00D67422">
                    <w:rPr>
                      <w:rFonts w:ascii="Calibri" w:hAnsi="Calibri"/>
                      <w:color w:val="000000"/>
                      <w:sz w:val="22"/>
                      <w:szCs w:val="22"/>
                    </w:rPr>
                    <w:t>1</w:t>
                  </w:r>
                </w:p>
              </w:tc>
              <w:tc>
                <w:tcPr>
                  <w:tcW w:w="1417" w:type="dxa"/>
                  <w:vAlign w:val="center"/>
                </w:tcPr>
                <w:p w:rsidR="006159E3" w:rsidRPr="00D67422" w:rsidRDefault="006159E3" w:rsidP="005E4111">
                  <w:pPr>
                    <w:jc w:val="center"/>
                    <w:rPr>
                      <w:rFonts w:ascii="Calibri" w:hAnsi="Calibri"/>
                      <w:color w:val="000000"/>
                      <w:sz w:val="22"/>
                      <w:szCs w:val="22"/>
                    </w:rPr>
                  </w:pPr>
                  <w:r w:rsidRPr="00D67422">
                    <w:rPr>
                      <w:rFonts w:ascii="Calibri" w:hAnsi="Calibri"/>
                      <w:color w:val="000000"/>
                      <w:sz w:val="22"/>
                      <w:szCs w:val="22"/>
                    </w:rPr>
                    <w:t>1</w:t>
                  </w:r>
                </w:p>
              </w:tc>
            </w:tr>
            <w:tr w:rsidR="006159E3" w:rsidTr="005E4111">
              <w:tc>
                <w:tcPr>
                  <w:tcW w:w="2551" w:type="dxa"/>
                  <w:vAlign w:val="bottom"/>
                </w:tcPr>
                <w:p w:rsidR="006159E3" w:rsidRPr="00D67422" w:rsidRDefault="006159E3" w:rsidP="005E4111">
                  <w:pPr>
                    <w:rPr>
                      <w:rFonts w:ascii="Calibri" w:hAnsi="Calibri"/>
                      <w:color w:val="000000"/>
                      <w:sz w:val="22"/>
                      <w:szCs w:val="22"/>
                    </w:rPr>
                  </w:pPr>
                  <w:r w:rsidRPr="00D67422">
                    <w:rPr>
                      <w:rFonts w:ascii="Calibri" w:hAnsi="Calibri"/>
                      <w:color w:val="000000"/>
                      <w:sz w:val="22"/>
                      <w:szCs w:val="22"/>
                    </w:rPr>
                    <w:t>After 6pm</w:t>
                  </w:r>
                </w:p>
              </w:tc>
              <w:tc>
                <w:tcPr>
                  <w:tcW w:w="1417" w:type="dxa"/>
                  <w:vAlign w:val="center"/>
                </w:tcPr>
                <w:p w:rsidR="006159E3" w:rsidRPr="00D67422" w:rsidRDefault="006159E3" w:rsidP="005E4111">
                  <w:pPr>
                    <w:jc w:val="center"/>
                    <w:rPr>
                      <w:rFonts w:ascii="Calibri" w:hAnsi="Calibri"/>
                      <w:color w:val="000000"/>
                      <w:sz w:val="22"/>
                      <w:szCs w:val="22"/>
                    </w:rPr>
                  </w:pPr>
                </w:p>
              </w:tc>
              <w:tc>
                <w:tcPr>
                  <w:tcW w:w="1417" w:type="dxa"/>
                  <w:vAlign w:val="center"/>
                </w:tcPr>
                <w:p w:rsidR="006159E3" w:rsidRPr="00D67422" w:rsidRDefault="006159E3" w:rsidP="005E4111">
                  <w:pPr>
                    <w:jc w:val="center"/>
                    <w:rPr>
                      <w:rFonts w:ascii="Calibri" w:hAnsi="Calibri"/>
                      <w:color w:val="000000"/>
                      <w:sz w:val="22"/>
                      <w:szCs w:val="22"/>
                    </w:rPr>
                  </w:pPr>
                  <w:r w:rsidRPr="00D67422">
                    <w:rPr>
                      <w:rFonts w:ascii="Calibri" w:hAnsi="Calibri"/>
                      <w:color w:val="000000"/>
                      <w:sz w:val="22"/>
                      <w:szCs w:val="22"/>
                    </w:rPr>
                    <w:t>1</w:t>
                  </w:r>
                </w:p>
              </w:tc>
              <w:tc>
                <w:tcPr>
                  <w:tcW w:w="1417" w:type="dxa"/>
                  <w:vAlign w:val="center"/>
                </w:tcPr>
                <w:p w:rsidR="006159E3" w:rsidRPr="00D67422" w:rsidRDefault="006159E3" w:rsidP="005E4111">
                  <w:pPr>
                    <w:jc w:val="center"/>
                    <w:rPr>
                      <w:rFonts w:ascii="Calibri" w:hAnsi="Calibri"/>
                      <w:color w:val="000000"/>
                      <w:sz w:val="22"/>
                      <w:szCs w:val="22"/>
                    </w:rPr>
                  </w:pPr>
                  <w:r w:rsidRPr="00D67422">
                    <w:rPr>
                      <w:rFonts w:ascii="Calibri" w:hAnsi="Calibri"/>
                      <w:color w:val="000000"/>
                      <w:sz w:val="22"/>
                      <w:szCs w:val="22"/>
                    </w:rPr>
                    <w:t>1</w:t>
                  </w:r>
                </w:p>
              </w:tc>
              <w:tc>
                <w:tcPr>
                  <w:tcW w:w="1417" w:type="dxa"/>
                  <w:vAlign w:val="center"/>
                </w:tcPr>
                <w:p w:rsidR="006159E3" w:rsidRPr="00D67422" w:rsidRDefault="006159E3" w:rsidP="005E4111">
                  <w:pPr>
                    <w:jc w:val="center"/>
                    <w:rPr>
                      <w:rFonts w:ascii="Calibri" w:hAnsi="Calibri"/>
                      <w:color w:val="000000"/>
                      <w:sz w:val="22"/>
                      <w:szCs w:val="22"/>
                    </w:rPr>
                  </w:pPr>
                  <w:r w:rsidRPr="00D67422">
                    <w:rPr>
                      <w:rFonts w:ascii="Calibri" w:hAnsi="Calibri"/>
                      <w:color w:val="000000"/>
                      <w:sz w:val="22"/>
                      <w:szCs w:val="22"/>
                    </w:rPr>
                    <w:t>1</w:t>
                  </w:r>
                </w:p>
              </w:tc>
              <w:tc>
                <w:tcPr>
                  <w:tcW w:w="1417" w:type="dxa"/>
                  <w:vAlign w:val="center"/>
                </w:tcPr>
                <w:p w:rsidR="006159E3" w:rsidRPr="00D67422" w:rsidRDefault="006159E3" w:rsidP="005E4111">
                  <w:pPr>
                    <w:jc w:val="center"/>
                    <w:rPr>
                      <w:rFonts w:ascii="Calibri" w:hAnsi="Calibri"/>
                      <w:color w:val="000000"/>
                      <w:sz w:val="22"/>
                      <w:szCs w:val="22"/>
                    </w:rPr>
                  </w:pPr>
                </w:p>
              </w:tc>
              <w:tc>
                <w:tcPr>
                  <w:tcW w:w="1417" w:type="dxa"/>
                  <w:vAlign w:val="center"/>
                </w:tcPr>
                <w:p w:rsidR="006159E3" w:rsidRPr="00D67422" w:rsidRDefault="006159E3" w:rsidP="005E4111">
                  <w:pPr>
                    <w:jc w:val="center"/>
                    <w:rPr>
                      <w:rFonts w:ascii="Calibri" w:hAnsi="Calibri"/>
                      <w:color w:val="000000"/>
                      <w:sz w:val="22"/>
                      <w:szCs w:val="22"/>
                    </w:rPr>
                  </w:pPr>
                </w:p>
              </w:tc>
            </w:tr>
            <w:tr w:rsidR="006159E3" w:rsidTr="005E4111">
              <w:tc>
                <w:tcPr>
                  <w:tcW w:w="2551" w:type="dxa"/>
                  <w:vAlign w:val="bottom"/>
                </w:tcPr>
                <w:p w:rsidR="006159E3" w:rsidRPr="00D67422" w:rsidRDefault="006159E3" w:rsidP="005E4111">
                  <w:pPr>
                    <w:rPr>
                      <w:rFonts w:ascii="Calibri" w:hAnsi="Calibri"/>
                      <w:color w:val="000000"/>
                      <w:sz w:val="22"/>
                      <w:szCs w:val="22"/>
                    </w:rPr>
                  </w:pPr>
                  <w:r w:rsidRPr="00D67422">
                    <w:rPr>
                      <w:rFonts w:ascii="Calibri" w:hAnsi="Calibri"/>
                      <w:color w:val="000000"/>
                      <w:sz w:val="22"/>
                      <w:szCs w:val="22"/>
                    </w:rPr>
                    <w:t>Over-night care</w:t>
                  </w:r>
                </w:p>
              </w:tc>
              <w:tc>
                <w:tcPr>
                  <w:tcW w:w="1417" w:type="dxa"/>
                  <w:vAlign w:val="center"/>
                </w:tcPr>
                <w:p w:rsidR="006159E3" w:rsidRPr="00D67422" w:rsidRDefault="006159E3" w:rsidP="005E4111">
                  <w:pPr>
                    <w:jc w:val="center"/>
                    <w:rPr>
                      <w:rFonts w:ascii="Calibri" w:hAnsi="Calibri"/>
                      <w:color w:val="000000"/>
                      <w:sz w:val="22"/>
                      <w:szCs w:val="22"/>
                    </w:rPr>
                  </w:pPr>
                </w:p>
              </w:tc>
              <w:tc>
                <w:tcPr>
                  <w:tcW w:w="1417" w:type="dxa"/>
                  <w:vAlign w:val="center"/>
                </w:tcPr>
                <w:p w:rsidR="006159E3" w:rsidRPr="00D67422" w:rsidRDefault="006159E3" w:rsidP="005E4111">
                  <w:pPr>
                    <w:jc w:val="center"/>
                    <w:rPr>
                      <w:rFonts w:ascii="Calibri" w:hAnsi="Calibri"/>
                      <w:color w:val="000000"/>
                      <w:sz w:val="22"/>
                      <w:szCs w:val="22"/>
                    </w:rPr>
                  </w:pPr>
                </w:p>
              </w:tc>
              <w:tc>
                <w:tcPr>
                  <w:tcW w:w="1417" w:type="dxa"/>
                  <w:vAlign w:val="center"/>
                </w:tcPr>
                <w:p w:rsidR="006159E3" w:rsidRPr="00D67422" w:rsidRDefault="006159E3" w:rsidP="005E4111">
                  <w:pPr>
                    <w:jc w:val="center"/>
                    <w:rPr>
                      <w:rFonts w:ascii="Calibri" w:hAnsi="Calibri"/>
                      <w:color w:val="000000"/>
                      <w:sz w:val="22"/>
                      <w:szCs w:val="22"/>
                    </w:rPr>
                  </w:pPr>
                </w:p>
              </w:tc>
              <w:tc>
                <w:tcPr>
                  <w:tcW w:w="1417" w:type="dxa"/>
                  <w:vAlign w:val="center"/>
                </w:tcPr>
                <w:p w:rsidR="006159E3" w:rsidRPr="00D67422" w:rsidRDefault="006159E3" w:rsidP="005E4111">
                  <w:pPr>
                    <w:jc w:val="center"/>
                    <w:rPr>
                      <w:rFonts w:ascii="Calibri" w:hAnsi="Calibri"/>
                      <w:color w:val="000000"/>
                      <w:sz w:val="22"/>
                      <w:szCs w:val="22"/>
                    </w:rPr>
                  </w:pPr>
                </w:p>
              </w:tc>
              <w:tc>
                <w:tcPr>
                  <w:tcW w:w="1417" w:type="dxa"/>
                  <w:vAlign w:val="center"/>
                </w:tcPr>
                <w:p w:rsidR="006159E3" w:rsidRPr="00D67422" w:rsidRDefault="006159E3" w:rsidP="005E4111">
                  <w:pPr>
                    <w:jc w:val="center"/>
                    <w:rPr>
                      <w:rFonts w:ascii="Calibri" w:hAnsi="Calibri"/>
                      <w:color w:val="000000"/>
                      <w:sz w:val="22"/>
                      <w:szCs w:val="22"/>
                    </w:rPr>
                  </w:pPr>
                </w:p>
              </w:tc>
              <w:tc>
                <w:tcPr>
                  <w:tcW w:w="1417" w:type="dxa"/>
                  <w:vAlign w:val="center"/>
                </w:tcPr>
                <w:p w:rsidR="006159E3" w:rsidRPr="00D67422" w:rsidRDefault="006159E3" w:rsidP="005E4111">
                  <w:pPr>
                    <w:jc w:val="center"/>
                    <w:rPr>
                      <w:rFonts w:ascii="Calibri" w:hAnsi="Calibri"/>
                      <w:color w:val="000000"/>
                      <w:sz w:val="22"/>
                      <w:szCs w:val="22"/>
                    </w:rPr>
                  </w:pPr>
                  <w:r w:rsidRPr="00D67422">
                    <w:rPr>
                      <w:rFonts w:ascii="Calibri" w:hAnsi="Calibri"/>
                      <w:color w:val="000000"/>
                      <w:sz w:val="22"/>
                      <w:szCs w:val="22"/>
                    </w:rPr>
                    <w:t>1</w:t>
                  </w:r>
                </w:p>
              </w:tc>
            </w:tr>
            <w:tr w:rsidR="006159E3" w:rsidTr="005E4111">
              <w:tc>
                <w:tcPr>
                  <w:tcW w:w="2551" w:type="dxa"/>
                  <w:vAlign w:val="bottom"/>
                </w:tcPr>
                <w:p w:rsidR="006159E3" w:rsidRPr="00D67422" w:rsidRDefault="006159E3" w:rsidP="005E4111">
                  <w:pPr>
                    <w:rPr>
                      <w:rFonts w:ascii="Calibri" w:hAnsi="Calibri"/>
                      <w:color w:val="000000"/>
                      <w:sz w:val="22"/>
                      <w:szCs w:val="22"/>
                    </w:rPr>
                  </w:pPr>
                  <w:r w:rsidRPr="00D67422">
                    <w:rPr>
                      <w:rFonts w:ascii="Calibri" w:hAnsi="Calibri"/>
                      <w:color w:val="000000"/>
                      <w:sz w:val="22"/>
                      <w:szCs w:val="22"/>
                    </w:rPr>
                    <w:t>Weekend care</w:t>
                  </w:r>
                </w:p>
              </w:tc>
              <w:tc>
                <w:tcPr>
                  <w:tcW w:w="1417" w:type="dxa"/>
                  <w:vAlign w:val="center"/>
                </w:tcPr>
                <w:p w:rsidR="006159E3" w:rsidRPr="00D67422" w:rsidRDefault="006159E3" w:rsidP="005E4111">
                  <w:pPr>
                    <w:jc w:val="center"/>
                    <w:rPr>
                      <w:rFonts w:ascii="Calibri" w:hAnsi="Calibri"/>
                      <w:color w:val="000000"/>
                      <w:sz w:val="22"/>
                      <w:szCs w:val="22"/>
                    </w:rPr>
                  </w:pPr>
                </w:p>
              </w:tc>
              <w:tc>
                <w:tcPr>
                  <w:tcW w:w="1417" w:type="dxa"/>
                  <w:vAlign w:val="center"/>
                </w:tcPr>
                <w:p w:rsidR="006159E3" w:rsidRPr="00D67422" w:rsidRDefault="006159E3" w:rsidP="005E4111">
                  <w:pPr>
                    <w:jc w:val="center"/>
                    <w:rPr>
                      <w:rFonts w:ascii="Calibri" w:hAnsi="Calibri"/>
                      <w:color w:val="000000"/>
                      <w:sz w:val="22"/>
                      <w:szCs w:val="22"/>
                    </w:rPr>
                  </w:pPr>
                </w:p>
              </w:tc>
              <w:tc>
                <w:tcPr>
                  <w:tcW w:w="1417" w:type="dxa"/>
                  <w:vAlign w:val="center"/>
                </w:tcPr>
                <w:p w:rsidR="006159E3" w:rsidRPr="00D67422" w:rsidRDefault="006159E3" w:rsidP="005E4111">
                  <w:pPr>
                    <w:jc w:val="center"/>
                    <w:rPr>
                      <w:rFonts w:ascii="Calibri" w:hAnsi="Calibri"/>
                      <w:color w:val="000000"/>
                      <w:sz w:val="22"/>
                      <w:szCs w:val="22"/>
                    </w:rPr>
                  </w:pPr>
                </w:p>
              </w:tc>
              <w:tc>
                <w:tcPr>
                  <w:tcW w:w="1417" w:type="dxa"/>
                  <w:vAlign w:val="center"/>
                </w:tcPr>
                <w:p w:rsidR="006159E3" w:rsidRPr="00D67422" w:rsidRDefault="006159E3" w:rsidP="005E4111">
                  <w:pPr>
                    <w:jc w:val="center"/>
                    <w:rPr>
                      <w:rFonts w:ascii="Calibri" w:hAnsi="Calibri"/>
                      <w:color w:val="000000"/>
                      <w:sz w:val="22"/>
                      <w:szCs w:val="22"/>
                    </w:rPr>
                  </w:pPr>
                  <w:r w:rsidRPr="00D67422">
                    <w:rPr>
                      <w:rFonts w:ascii="Calibri" w:hAnsi="Calibri"/>
                      <w:color w:val="000000"/>
                      <w:sz w:val="22"/>
                      <w:szCs w:val="22"/>
                    </w:rPr>
                    <w:t>1</w:t>
                  </w:r>
                </w:p>
              </w:tc>
              <w:tc>
                <w:tcPr>
                  <w:tcW w:w="1417" w:type="dxa"/>
                  <w:vAlign w:val="center"/>
                </w:tcPr>
                <w:p w:rsidR="006159E3" w:rsidRPr="00D67422" w:rsidRDefault="006159E3" w:rsidP="005E4111">
                  <w:pPr>
                    <w:jc w:val="center"/>
                    <w:rPr>
                      <w:rFonts w:ascii="Calibri" w:hAnsi="Calibri"/>
                      <w:color w:val="000000"/>
                      <w:sz w:val="22"/>
                      <w:szCs w:val="22"/>
                    </w:rPr>
                  </w:pPr>
                </w:p>
              </w:tc>
              <w:tc>
                <w:tcPr>
                  <w:tcW w:w="1417" w:type="dxa"/>
                  <w:vAlign w:val="center"/>
                </w:tcPr>
                <w:p w:rsidR="006159E3" w:rsidRPr="00D67422" w:rsidRDefault="006159E3" w:rsidP="005E4111">
                  <w:pPr>
                    <w:jc w:val="center"/>
                    <w:rPr>
                      <w:rFonts w:ascii="Calibri" w:hAnsi="Calibri"/>
                      <w:color w:val="000000"/>
                      <w:sz w:val="22"/>
                      <w:szCs w:val="22"/>
                    </w:rPr>
                  </w:pPr>
                </w:p>
              </w:tc>
            </w:tr>
          </w:tbl>
          <w:p w:rsidR="006159E3" w:rsidRDefault="006159E3" w:rsidP="005E4111">
            <w:pPr>
              <w:jc w:val="both"/>
              <w:rPr>
                <w:b/>
              </w:rPr>
            </w:pPr>
          </w:p>
          <w:p w:rsidR="006159E3" w:rsidRDefault="006159E3" w:rsidP="005E4111">
            <w:pPr>
              <w:jc w:val="both"/>
              <w:rPr>
                <w:b/>
              </w:rPr>
            </w:pPr>
            <w:r>
              <w:rPr>
                <w:b/>
              </w:rPr>
              <w:t xml:space="preserve">Other notable considerations. </w:t>
            </w:r>
          </w:p>
          <w:p w:rsidR="006159E3" w:rsidRDefault="006159E3" w:rsidP="005E4111">
            <w:pPr>
              <w:jc w:val="both"/>
              <w:rPr>
                <w:b/>
              </w:rPr>
            </w:pPr>
          </w:p>
          <w:p w:rsidR="006159E3" w:rsidRDefault="006159E3" w:rsidP="005E4111">
            <w:pPr>
              <w:jc w:val="both"/>
            </w:pPr>
            <w:r>
              <w:t xml:space="preserve">Approaching one in four (23%) of respondents believed that there was no childcare available for their child at their age. This was highest in CF33 with one in two (50%) respondents agreeing with the statement. Those age ranges were: under 12 months (2), 2 years (2), 3 years (1), and 8-11 years old (2). </w:t>
            </w:r>
          </w:p>
          <w:p w:rsidR="006159E3" w:rsidRDefault="006159E3" w:rsidP="005E4111"/>
          <w:p w:rsidR="006159E3" w:rsidRDefault="006159E3" w:rsidP="005E4111">
            <w:r>
              <w:t xml:space="preserve">Seven in ten (69%) of CF33 residents state there is little choice of childcare in the area, significantly above the average of 51 per cent. Similarly CF33 (78%) and CF32 (79%) both believe there should be more registered childcare provision in the areas, above the average of 52 per cent. </w:t>
            </w:r>
          </w:p>
          <w:p w:rsidR="006159E3" w:rsidRDefault="006159E3" w:rsidP="005E4111"/>
          <w:p w:rsidR="006159E3" w:rsidRDefault="006159E3" w:rsidP="005E4111"/>
          <w:p w:rsidR="006159E3" w:rsidRDefault="006159E3" w:rsidP="005E4111">
            <w:r>
              <w:t xml:space="preserve">In summary, the following issues and gaps have been identified through the consultations:  </w:t>
            </w:r>
          </w:p>
          <w:p w:rsidR="006159E3" w:rsidRDefault="006159E3" w:rsidP="005E4111"/>
          <w:p w:rsidR="006159E3" w:rsidRDefault="006159E3" w:rsidP="006159E3">
            <w:pPr>
              <w:pStyle w:val="ListParagraph"/>
              <w:numPr>
                <w:ilvl w:val="0"/>
                <w:numId w:val="2"/>
              </w:numPr>
            </w:pPr>
            <w:r>
              <w:t>Childcare is perceived as too expensive</w:t>
            </w:r>
          </w:p>
          <w:p w:rsidR="006159E3" w:rsidRDefault="006159E3" w:rsidP="006159E3">
            <w:pPr>
              <w:pStyle w:val="ListParagraph"/>
              <w:numPr>
                <w:ilvl w:val="0"/>
                <w:numId w:val="2"/>
              </w:numPr>
            </w:pPr>
            <w:r>
              <w:t>More Welsh-medium childcare is required in CF35</w:t>
            </w:r>
          </w:p>
          <w:p w:rsidR="006159E3" w:rsidRDefault="006159E3" w:rsidP="005E4111">
            <w:pPr>
              <w:pStyle w:val="ListParagraph"/>
              <w:rPr>
                <w:i/>
                <w:sz w:val="20"/>
                <w:szCs w:val="20"/>
              </w:rPr>
            </w:pPr>
            <w:r>
              <w:rPr>
                <w:i/>
                <w:sz w:val="20"/>
                <w:szCs w:val="20"/>
              </w:rPr>
              <w:t xml:space="preserve">N.B. There is a Cylch Meithrin in Pencoed but there is no Welsh medium out of school childcare in this area due to the Welsh Medium Primary school sitting in the CF31 postcode.  It is unclear in these responses what type of childcare the respondents would like to be available in the medium of Welsh. </w:t>
            </w:r>
          </w:p>
          <w:p w:rsidR="006159E3" w:rsidRDefault="006159E3" w:rsidP="006159E3">
            <w:pPr>
              <w:pStyle w:val="ListParagraph"/>
              <w:numPr>
                <w:ilvl w:val="0"/>
                <w:numId w:val="2"/>
              </w:numPr>
              <w:tabs>
                <w:tab w:val="left" w:pos="1320"/>
              </w:tabs>
            </w:pPr>
            <w:r>
              <w:t xml:space="preserve">Atypical childcare is an identified gap across two specific postcodes: CF31 and CF35. However, no area offers this atypical provision and, as such, is a gap across the county. </w:t>
            </w:r>
          </w:p>
          <w:p w:rsidR="006159E3" w:rsidRDefault="006159E3" w:rsidP="006159E3">
            <w:pPr>
              <w:pStyle w:val="ListParagraph"/>
              <w:numPr>
                <w:ilvl w:val="0"/>
                <w:numId w:val="2"/>
              </w:numPr>
              <w:tabs>
                <w:tab w:val="left" w:pos="1320"/>
              </w:tabs>
            </w:pPr>
            <w:r>
              <w:t>Specialist childcare provision for children with additional needs has been identified as a gap.  This is based on the parental questionnaire data and also the Focus group data. The areas of CF32/CF39 and CF35 are highlighted as being a specific gap.</w:t>
            </w:r>
          </w:p>
          <w:p w:rsidR="006159E3" w:rsidRPr="00FB5D5E" w:rsidRDefault="006159E3" w:rsidP="005E4111">
            <w:pPr>
              <w:pStyle w:val="ListParagraph"/>
              <w:tabs>
                <w:tab w:val="left" w:pos="1320"/>
              </w:tabs>
              <w:rPr>
                <w:i/>
                <w:sz w:val="20"/>
              </w:rPr>
            </w:pPr>
            <w:r>
              <w:rPr>
                <w:i/>
                <w:sz w:val="20"/>
              </w:rPr>
              <w:t xml:space="preserve">N.B. However, with Y Bont, Bridgend has an identified specialist provision that supports children and families cross the county.  Through available grants, there is 1:1 funding in the early years sector and many provisions are inclusive but are unable to fund the additional staffing required to meet the needs of the child/ren. </w:t>
            </w:r>
          </w:p>
          <w:p w:rsidR="006159E3" w:rsidRDefault="006159E3" w:rsidP="006159E3">
            <w:pPr>
              <w:pStyle w:val="ListParagraph"/>
              <w:numPr>
                <w:ilvl w:val="0"/>
                <w:numId w:val="2"/>
              </w:numPr>
              <w:tabs>
                <w:tab w:val="left" w:pos="1320"/>
              </w:tabs>
            </w:pPr>
            <w:r>
              <w:t>Wraparound provision has been identified as a gap across the county borough, particularly in CF34 and CF33.</w:t>
            </w:r>
          </w:p>
          <w:p w:rsidR="006159E3" w:rsidRDefault="006159E3" w:rsidP="006159E3">
            <w:pPr>
              <w:pStyle w:val="ListParagraph"/>
              <w:numPr>
                <w:ilvl w:val="0"/>
                <w:numId w:val="2"/>
              </w:numPr>
              <w:tabs>
                <w:tab w:val="left" w:pos="1320"/>
              </w:tabs>
            </w:pPr>
            <w:r>
              <w:lastRenderedPageBreak/>
              <w:t xml:space="preserve">It is perceived that CF33 residents believe there is little choice of childcare in their area.  </w:t>
            </w:r>
          </w:p>
          <w:p w:rsidR="006159E3" w:rsidRDefault="006159E3" w:rsidP="005E4111">
            <w:pPr>
              <w:pStyle w:val="ListParagraph"/>
              <w:tabs>
                <w:tab w:val="left" w:pos="1320"/>
              </w:tabs>
              <w:rPr>
                <w:i/>
                <w:sz w:val="20"/>
              </w:rPr>
            </w:pPr>
            <w:r w:rsidRPr="00EC5C47">
              <w:rPr>
                <w:i/>
                <w:sz w:val="20"/>
              </w:rPr>
              <w:t xml:space="preserve">N.B. There is Flying Start, a Cylch Meithrin,a Playgroup, two day nurseries, a Breakfast, After School and Holiday Club, a youth provision and an after school club based in one of the schools.  There are also at least 3 childminders.  Although this is perceived as a gap, the reality is that the area is well served by a variety of provision, in both English and Welsh and for a variety of ages. </w:t>
            </w:r>
          </w:p>
          <w:p w:rsidR="006159E3" w:rsidRDefault="006159E3" w:rsidP="006159E3">
            <w:pPr>
              <w:pStyle w:val="ListParagraph"/>
              <w:numPr>
                <w:ilvl w:val="0"/>
                <w:numId w:val="2"/>
              </w:numPr>
              <w:tabs>
                <w:tab w:val="left" w:pos="1320"/>
              </w:tabs>
            </w:pPr>
            <w:r>
              <w:t>CF32/CF39 appears to show a lack of registered childcare provision.</w:t>
            </w:r>
          </w:p>
          <w:p w:rsidR="006159E3" w:rsidRPr="00EC5C47" w:rsidRDefault="006159E3" w:rsidP="005E4111">
            <w:pPr>
              <w:pStyle w:val="ListParagraph"/>
              <w:tabs>
                <w:tab w:val="left" w:pos="1320"/>
              </w:tabs>
              <w:rPr>
                <w:i/>
                <w:sz w:val="20"/>
              </w:rPr>
            </w:pPr>
            <w:r w:rsidRPr="00EC5C47">
              <w:rPr>
                <w:i/>
                <w:sz w:val="20"/>
              </w:rPr>
              <w:t xml:space="preserve">N.B. The Garw Valley and Ogmore Valley are areas that continue to require development and are a geographical gap.  However, the Garw Valley has seen improvements in recent development, such as an after school club in Ffaldau and a registered Cylch Meithrin in Cwm Garw.  </w:t>
            </w:r>
          </w:p>
          <w:p w:rsidR="006159E3" w:rsidRPr="00EC5C47" w:rsidRDefault="006159E3" w:rsidP="005E4111">
            <w:pPr>
              <w:pStyle w:val="ListParagraph"/>
              <w:tabs>
                <w:tab w:val="left" w:pos="1320"/>
              </w:tabs>
              <w:rPr>
                <w:sz w:val="20"/>
              </w:rPr>
            </w:pPr>
          </w:p>
          <w:p w:rsidR="006159E3" w:rsidRPr="00BA2EAF" w:rsidRDefault="006159E3" w:rsidP="005E4111">
            <w:pPr>
              <w:rPr>
                <w:b/>
                <w:u w:val="single"/>
              </w:rPr>
            </w:pPr>
            <w:r w:rsidRPr="00BA2EAF">
              <w:rPr>
                <w:b/>
                <w:u w:val="single"/>
              </w:rPr>
              <w:t>Important issues to note</w:t>
            </w:r>
          </w:p>
          <w:p w:rsidR="006159E3" w:rsidRDefault="006159E3" w:rsidP="005E4111"/>
          <w:p w:rsidR="006159E3" w:rsidRDefault="006159E3" w:rsidP="005E4111">
            <w:r>
              <w:t>As indicated in the Introduction of this document, the supply data has proved to be inaccurate due to the implementation of the SASS data, which proved to be more complicated than first anticipated.   As such, the gaps that would usually be identified from supply against demand have not been generated or, in some cases, have identified gaps that do not exist.  The Childcare Team are fully aware of the real gaps across the county and will identify them within the Action Plan, alongside detailing how it is hoped these gaps will be filled.  The comprehensive Action Plan will clearly set out the priorities of the Childcare Team across the next 5 years and will include strategies to deal with the Childcare Offer.  Whilst it is clear that parental consultation have identified some gaps, which must be noted, the Childcare Team are also aware of the following gaps in the county borough:</w:t>
            </w:r>
          </w:p>
          <w:p w:rsidR="006159E3" w:rsidRDefault="006159E3" w:rsidP="005E4111"/>
          <w:p w:rsidR="006159E3" w:rsidRDefault="006159E3" w:rsidP="006159E3">
            <w:pPr>
              <w:pStyle w:val="ListParagraph"/>
              <w:numPr>
                <w:ilvl w:val="0"/>
                <w:numId w:val="2"/>
              </w:numPr>
            </w:pPr>
            <w:r>
              <w:t>Garw Valley (all types of provision) – CF32/CF39</w:t>
            </w:r>
          </w:p>
          <w:p w:rsidR="006159E3" w:rsidRDefault="006159E3" w:rsidP="006159E3">
            <w:pPr>
              <w:pStyle w:val="ListParagraph"/>
              <w:numPr>
                <w:ilvl w:val="0"/>
                <w:numId w:val="2"/>
              </w:numPr>
            </w:pPr>
            <w:r>
              <w:t>Ogmore Valley (all types of provision but in particular Welsh-medium) – CF32/CF39</w:t>
            </w:r>
          </w:p>
          <w:p w:rsidR="006159E3" w:rsidRDefault="006159E3" w:rsidP="006159E3">
            <w:pPr>
              <w:pStyle w:val="ListParagraph"/>
              <w:numPr>
                <w:ilvl w:val="0"/>
                <w:numId w:val="2"/>
              </w:numPr>
            </w:pPr>
            <w:r>
              <w:t>Porthcawl (Playgroup and after school provision on school sites) – CF36</w:t>
            </w:r>
          </w:p>
          <w:p w:rsidR="006159E3" w:rsidRDefault="006159E3" w:rsidP="006159E3">
            <w:pPr>
              <w:pStyle w:val="ListParagraph"/>
              <w:numPr>
                <w:ilvl w:val="0"/>
                <w:numId w:val="2"/>
              </w:numPr>
            </w:pPr>
            <w:r>
              <w:t>Brackla (Playgroup – English and Welsh Medium) – CF31</w:t>
            </w:r>
          </w:p>
          <w:p w:rsidR="006159E3" w:rsidRDefault="006159E3" w:rsidP="006159E3">
            <w:pPr>
              <w:pStyle w:val="ListParagraph"/>
              <w:numPr>
                <w:ilvl w:val="0"/>
                <w:numId w:val="2"/>
              </w:numPr>
            </w:pPr>
            <w:r>
              <w:t>Valleys Gateway (Holiday Provision – English and Welsh-Medium) – CF32/CF39</w:t>
            </w:r>
          </w:p>
          <w:p w:rsidR="006159E3" w:rsidRDefault="006159E3" w:rsidP="006159E3">
            <w:pPr>
              <w:pStyle w:val="ListParagraph"/>
              <w:numPr>
                <w:ilvl w:val="0"/>
                <w:numId w:val="2"/>
              </w:numPr>
            </w:pPr>
            <w:r>
              <w:t xml:space="preserve">Increase registered out of school provision across the county. </w:t>
            </w:r>
          </w:p>
          <w:p w:rsidR="006159E3" w:rsidRDefault="006159E3" w:rsidP="006159E3">
            <w:pPr>
              <w:pStyle w:val="ListParagraph"/>
              <w:numPr>
                <w:ilvl w:val="0"/>
                <w:numId w:val="2"/>
              </w:numPr>
            </w:pPr>
            <w:r>
              <w:t xml:space="preserve">Increase Wraparound provision across the county.  </w:t>
            </w:r>
          </w:p>
          <w:p w:rsidR="006159E3" w:rsidRDefault="006159E3" w:rsidP="005E4111"/>
          <w:p w:rsidR="006159E3" w:rsidRDefault="006159E3" w:rsidP="005E4111"/>
        </w:tc>
      </w:tr>
    </w:tbl>
    <w:p w:rsidR="009E2402" w:rsidRDefault="009E2402"/>
    <w:sectPr w:rsidR="009E2402" w:rsidSect="006159E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4322E"/>
    <w:multiLevelType w:val="hybridMultilevel"/>
    <w:tmpl w:val="F7064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C8668F"/>
    <w:multiLevelType w:val="hybridMultilevel"/>
    <w:tmpl w:val="3A485C46"/>
    <w:lvl w:ilvl="0" w:tplc="0809000F">
      <w:start w:val="1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9E3"/>
    <w:rsid w:val="006159E3"/>
    <w:rsid w:val="00777802"/>
    <w:rsid w:val="009E2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9E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9E3"/>
    <w:pPr>
      <w:ind w:left="720"/>
      <w:contextualSpacing/>
    </w:pPr>
  </w:style>
  <w:style w:type="table" w:styleId="TableGrid">
    <w:name w:val="Table Grid"/>
    <w:basedOn w:val="TableNormal"/>
    <w:uiPriority w:val="59"/>
    <w:rsid w:val="006159E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9E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9E3"/>
    <w:pPr>
      <w:ind w:left="720"/>
      <w:contextualSpacing/>
    </w:pPr>
  </w:style>
  <w:style w:type="table" w:styleId="TableGrid">
    <w:name w:val="Table Grid"/>
    <w:basedOn w:val="TableNormal"/>
    <w:uiPriority w:val="59"/>
    <w:rsid w:val="006159E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7759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Castle</dc:creator>
  <cp:lastModifiedBy>Esta John</cp:lastModifiedBy>
  <cp:revision>2</cp:revision>
  <dcterms:created xsi:type="dcterms:W3CDTF">2018-02-07T14:58:00Z</dcterms:created>
  <dcterms:modified xsi:type="dcterms:W3CDTF">2018-02-07T14:58:00Z</dcterms:modified>
</cp:coreProperties>
</file>