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E1" w:rsidRDefault="005A7DE1" w:rsidP="005A7DE1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5A7DE1" w:rsidRDefault="005A7DE1" w:rsidP="005A7D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Scrutiny Forward Work Programme for the period 01 </w:t>
      </w:r>
      <w:r w:rsidR="00273234">
        <w:rPr>
          <w:rFonts w:ascii="Arial" w:hAnsi="Arial" w:cs="Arial"/>
          <w:b/>
        </w:rPr>
        <w:t>November</w:t>
      </w:r>
      <w:r>
        <w:rPr>
          <w:rFonts w:ascii="Arial" w:hAnsi="Arial" w:cs="Arial"/>
          <w:b/>
        </w:rPr>
        <w:t xml:space="preserve"> 2017– 31 January 2018</w:t>
      </w:r>
    </w:p>
    <w:p w:rsidR="005A7DE1" w:rsidRDefault="005A7DE1" w:rsidP="005A7DE1">
      <w:pPr>
        <w:rPr>
          <w:rFonts w:ascii="Arial" w:hAnsi="Arial" w:cs="Arial"/>
          <w:b/>
        </w:rPr>
      </w:pPr>
    </w:p>
    <w:tbl>
      <w:tblPr>
        <w:tblW w:w="14172" w:type="dxa"/>
        <w:tblInd w:w="-5" w:type="dxa"/>
        <w:tblLook w:val="04A0" w:firstRow="1" w:lastRow="0" w:firstColumn="1" w:lastColumn="0" w:noHBand="0" w:noVBand="1"/>
      </w:tblPr>
      <w:tblGrid>
        <w:gridCol w:w="1131"/>
        <w:gridCol w:w="2461"/>
        <w:gridCol w:w="1132"/>
        <w:gridCol w:w="2379"/>
        <w:gridCol w:w="1132"/>
        <w:gridCol w:w="2392"/>
        <w:gridCol w:w="1132"/>
        <w:gridCol w:w="2413"/>
      </w:tblGrid>
      <w:tr w:rsidR="005A7DE1" w:rsidRPr="00BB02C5" w:rsidTr="004F7AC5">
        <w:trPr>
          <w:trHeight w:val="765"/>
          <w:tblHeader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BB02C5">
              <w:rPr>
                <w:rFonts w:ascii="Arial" w:hAnsi="Arial" w:cs="Arial"/>
                <w:b/>
                <w:bCs/>
                <w:color w:val="000000"/>
              </w:rPr>
              <w:t>Meeting Date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02C5">
              <w:rPr>
                <w:rFonts w:ascii="Arial" w:hAnsi="Arial" w:cs="Arial"/>
                <w:b/>
                <w:bCs/>
                <w:color w:val="000000"/>
              </w:rPr>
              <w:t>Corporate Scrutiny Committee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02C5">
              <w:rPr>
                <w:rFonts w:ascii="Arial" w:hAnsi="Arial" w:cs="Arial"/>
                <w:b/>
                <w:bCs/>
                <w:color w:val="000000"/>
              </w:rPr>
              <w:t>Meeting Date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02C5">
              <w:rPr>
                <w:rFonts w:ascii="Arial" w:hAnsi="Arial" w:cs="Arial"/>
                <w:b/>
                <w:bCs/>
                <w:color w:val="000000"/>
              </w:rPr>
              <w:t>Subject Scrutiny Committee 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02C5">
              <w:rPr>
                <w:rFonts w:ascii="Arial" w:hAnsi="Arial" w:cs="Arial"/>
                <w:b/>
                <w:bCs/>
                <w:color w:val="000000"/>
              </w:rPr>
              <w:t>Meeting Date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02C5">
              <w:rPr>
                <w:rFonts w:ascii="Arial" w:hAnsi="Arial" w:cs="Arial"/>
                <w:b/>
                <w:bCs/>
                <w:color w:val="000000"/>
              </w:rPr>
              <w:t>Subject Scrutiny Committee 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02C5">
              <w:rPr>
                <w:rFonts w:ascii="Arial" w:hAnsi="Arial" w:cs="Arial"/>
                <w:b/>
                <w:bCs/>
                <w:color w:val="000000"/>
              </w:rPr>
              <w:t>Meeting Date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02C5">
              <w:rPr>
                <w:rFonts w:ascii="Arial" w:hAnsi="Arial" w:cs="Arial"/>
                <w:b/>
                <w:bCs/>
                <w:color w:val="000000"/>
              </w:rPr>
              <w:t>Subject Scrutiny Committee 3</w:t>
            </w:r>
          </w:p>
        </w:tc>
      </w:tr>
      <w:tr w:rsidR="005A7DE1" w:rsidRPr="00BB02C5" w:rsidTr="003D37C3">
        <w:trPr>
          <w:trHeight w:val="2222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color w:val="000000"/>
              </w:rPr>
            </w:pPr>
            <w:r w:rsidRPr="00BB02C5">
              <w:rPr>
                <w:rFonts w:ascii="Arial" w:hAnsi="Arial" w:cs="Arial"/>
                <w:color w:val="000000"/>
              </w:rPr>
              <w:t>15-Nov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E1" w:rsidRPr="00FC49B1" w:rsidRDefault="005A7DE1" w:rsidP="004F7AC5">
            <w:pPr>
              <w:rPr>
                <w:rFonts w:ascii="Arial" w:hAnsi="Arial" w:cs="Arial"/>
                <w:b/>
              </w:rPr>
            </w:pPr>
            <w:r w:rsidRPr="00520A28">
              <w:rPr>
                <w:rFonts w:ascii="Arial" w:hAnsi="Arial" w:cs="Arial"/>
                <w:b/>
              </w:rPr>
              <w:t>Digital Transformation Programme</w:t>
            </w:r>
          </w:p>
          <w:p w:rsidR="005A7DE1" w:rsidRPr="00FC49B1" w:rsidRDefault="005A7DE1" w:rsidP="004F7AC5">
            <w:pPr>
              <w:rPr>
                <w:rFonts w:ascii="Arial" w:hAnsi="Arial" w:cs="Arial"/>
                <w:sz w:val="20"/>
              </w:rPr>
            </w:pPr>
            <w:r w:rsidRPr="00962DE0">
              <w:rPr>
                <w:rFonts w:ascii="Arial" w:hAnsi="Arial" w:cs="Arial"/>
                <w:sz w:val="20"/>
              </w:rPr>
              <w:t>The ongoing monitor</w:t>
            </w:r>
            <w:r>
              <w:rPr>
                <w:rFonts w:ascii="Arial" w:hAnsi="Arial" w:cs="Arial"/>
                <w:sz w:val="20"/>
              </w:rPr>
              <w:t>ing</w:t>
            </w:r>
            <w:r w:rsidRPr="00962DE0">
              <w:rPr>
                <w:rFonts w:ascii="Arial" w:hAnsi="Arial" w:cs="Arial"/>
                <w:sz w:val="20"/>
              </w:rPr>
              <w:t xml:space="preserve"> of the project including its potential savings and risks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color w:val="000000"/>
              </w:rPr>
            </w:pPr>
            <w:r w:rsidRPr="00BB02C5">
              <w:rPr>
                <w:rFonts w:ascii="Arial" w:hAnsi="Arial" w:cs="Arial"/>
                <w:color w:val="000000"/>
              </w:rPr>
              <w:t>06-Nov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A7DE1" w:rsidRDefault="005A7DE1" w:rsidP="004F7AC5">
            <w:pPr>
              <w:rPr>
                <w:rFonts w:ascii="Arial" w:hAnsi="Arial" w:cs="Arial"/>
                <w:b/>
                <w:color w:val="000000"/>
              </w:rPr>
            </w:pPr>
            <w:r w:rsidRPr="00520A28">
              <w:rPr>
                <w:rFonts w:ascii="Arial" w:hAnsi="Arial" w:cs="Arial"/>
                <w:b/>
                <w:color w:val="000000"/>
              </w:rPr>
              <w:t xml:space="preserve">Residential Remodelling </w:t>
            </w:r>
            <w:r>
              <w:rPr>
                <w:rFonts w:ascii="Arial" w:hAnsi="Arial" w:cs="Arial"/>
                <w:b/>
                <w:color w:val="000000"/>
              </w:rPr>
              <w:t>–</w:t>
            </w:r>
            <w:r w:rsidRPr="00520A28">
              <w:rPr>
                <w:rFonts w:ascii="Arial" w:hAnsi="Arial" w:cs="Arial"/>
                <w:b/>
                <w:color w:val="000000"/>
              </w:rPr>
              <w:t xml:space="preserve"> Childrens</w:t>
            </w:r>
            <w:r>
              <w:rPr>
                <w:rFonts w:ascii="Arial" w:hAnsi="Arial" w:cs="Arial"/>
                <w:b/>
                <w:color w:val="000000"/>
              </w:rPr>
              <w:t xml:space="preserve"> Services</w:t>
            </w:r>
          </w:p>
          <w:p w:rsidR="00FC49B1" w:rsidRPr="00FC49B1" w:rsidRDefault="00FC49B1" w:rsidP="004F7AC5">
            <w:pPr>
              <w:rPr>
                <w:rFonts w:ascii="Arial" w:hAnsi="Arial" w:cs="Arial"/>
                <w:b/>
                <w:color w:val="000000"/>
              </w:rPr>
            </w:pPr>
          </w:p>
          <w:p w:rsidR="005A7DE1" w:rsidRPr="00923C01" w:rsidRDefault="005A7DE1" w:rsidP="004F7AC5">
            <w:pPr>
              <w:rPr>
                <w:rFonts w:ascii="Arial" w:hAnsi="Arial" w:cs="Arial"/>
                <w:color w:val="000000"/>
                <w:sz w:val="20"/>
              </w:rPr>
            </w:pPr>
            <w:r w:rsidRPr="00923C01">
              <w:rPr>
                <w:rFonts w:ascii="Arial" w:hAnsi="Arial" w:cs="Arial"/>
                <w:color w:val="000000"/>
                <w:sz w:val="20"/>
              </w:rPr>
              <w:t>Appraisal of the options and proposed new model for children's residential provision and use of therapeutic interventions. (Pre decision item)</w:t>
            </w:r>
          </w:p>
          <w:p w:rsidR="005A7DE1" w:rsidRPr="00520A28" w:rsidRDefault="005A7DE1" w:rsidP="004F7AC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655625" w:rsidP="004F7A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12 -Dec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5A7DE1" w:rsidRDefault="005A7DE1" w:rsidP="004F7AC5">
            <w:pPr>
              <w:rPr>
                <w:rFonts w:ascii="Arial" w:hAnsi="Arial" w:cs="Arial"/>
                <w:b/>
                <w:color w:val="000000"/>
              </w:rPr>
            </w:pPr>
            <w:r w:rsidRPr="00520A28">
              <w:rPr>
                <w:rFonts w:ascii="Arial" w:hAnsi="Arial" w:cs="Arial"/>
                <w:b/>
                <w:color w:val="000000"/>
              </w:rPr>
              <w:t>Child and Adolescent Mental Health Services (CAMHS)</w:t>
            </w:r>
          </w:p>
          <w:p w:rsidR="005A7DE1" w:rsidRPr="00FE4B6E" w:rsidRDefault="005A7DE1" w:rsidP="004F7AC5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A7DE1" w:rsidRPr="00FE4B6E" w:rsidRDefault="005A7DE1" w:rsidP="004F7AC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To receive a report detailing how </w:t>
            </w:r>
            <w:r w:rsidRPr="00FE4B6E">
              <w:rPr>
                <w:rFonts w:ascii="Arial" w:hAnsi="Arial" w:cs="Arial"/>
                <w:color w:val="000000"/>
                <w:sz w:val="20"/>
              </w:rPr>
              <w:t>children and young people with mental health issues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are identified and supported by professionals and volunteers.  To include how </w:t>
            </w:r>
            <w:r w:rsidRPr="00FE4B6E">
              <w:rPr>
                <w:rFonts w:ascii="Arial" w:hAnsi="Arial" w:cs="Arial"/>
                <w:color w:val="000000"/>
                <w:sz w:val="20"/>
              </w:rPr>
              <w:t>communication and joint working between CAMHS and the YOS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has been achieved following staffing related issues.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655625" w:rsidP="004F7A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22 - Nov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:rsidR="005A7DE1" w:rsidRDefault="005A7DE1" w:rsidP="004F7AC5">
            <w:pPr>
              <w:rPr>
                <w:rFonts w:ascii="Arial" w:hAnsi="Arial" w:cs="Arial"/>
                <w:b/>
                <w:color w:val="000000"/>
              </w:rPr>
            </w:pPr>
            <w:r w:rsidRPr="00520A28">
              <w:rPr>
                <w:rFonts w:ascii="Arial" w:hAnsi="Arial" w:cs="Arial"/>
                <w:b/>
                <w:color w:val="000000"/>
              </w:rPr>
              <w:t xml:space="preserve">Waste </w:t>
            </w:r>
            <w:r>
              <w:rPr>
                <w:rFonts w:ascii="Arial" w:hAnsi="Arial" w:cs="Arial"/>
                <w:b/>
                <w:color w:val="000000"/>
              </w:rPr>
              <w:t xml:space="preserve">Services </w:t>
            </w:r>
            <w:r w:rsidRPr="00520A28">
              <w:rPr>
                <w:rFonts w:ascii="Arial" w:hAnsi="Arial" w:cs="Arial"/>
                <w:b/>
                <w:color w:val="000000"/>
              </w:rPr>
              <w:t>(Operational)</w:t>
            </w:r>
          </w:p>
          <w:p w:rsidR="005A7DE1" w:rsidRPr="00FE4B6E" w:rsidRDefault="005A7DE1" w:rsidP="004F7AC5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A7DE1" w:rsidRPr="00F45B3A" w:rsidRDefault="005A7DE1" w:rsidP="004F7AC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To review the implementation and roll-out of the new waste services contract.  The review to include the concerns that have been raised by the public and recorded on the Member Referrals system.   </w:t>
            </w:r>
          </w:p>
          <w:p w:rsidR="005A7DE1" w:rsidRDefault="005A7DE1" w:rsidP="004F7AC5">
            <w:pPr>
              <w:rPr>
                <w:rFonts w:ascii="Arial" w:hAnsi="Arial" w:cs="Arial"/>
                <w:b/>
                <w:color w:val="000000"/>
              </w:rPr>
            </w:pPr>
          </w:p>
          <w:p w:rsidR="005A7DE1" w:rsidRDefault="005A7DE1" w:rsidP="004F7AC5">
            <w:pPr>
              <w:rPr>
                <w:rFonts w:ascii="Arial" w:hAnsi="Arial" w:cs="Arial"/>
                <w:b/>
                <w:color w:val="000000"/>
              </w:rPr>
            </w:pPr>
          </w:p>
          <w:p w:rsidR="005A7DE1" w:rsidRPr="00BF5324" w:rsidRDefault="005A7DE1" w:rsidP="004F7A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5324">
              <w:rPr>
                <w:rFonts w:ascii="Arial" w:hAnsi="Arial" w:cs="Arial"/>
                <w:b/>
                <w:color w:val="000000"/>
              </w:rPr>
              <w:t>This meeting is planned to be webcast</w:t>
            </w:r>
          </w:p>
        </w:tc>
      </w:tr>
      <w:tr w:rsidR="005A7DE1" w:rsidRPr="00BB02C5" w:rsidTr="004F7AC5">
        <w:trPr>
          <w:trHeight w:val="60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E1" w:rsidRPr="003D37C3" w:rsidRDefault="005A7DE1" w:rsidP="003D37C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</w:tr>
      <w:tr w:rsidR="005A7DE1" w:rsidRPr="00BB02C5" w:rsidTr="00763AD1">
        <w:trPr>
          <w:trHeight w:val="1772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color w:val="000000"/>
              </w:rPr>
            </w:pPr>
            <w:r w:rsidRPr="00BB02C5">
              <w:rPr>
                <w:rFonts w:ascii="Arial" w:hAnsi="Arial" w:cs="Arial"/>
                <w:color w:val="000000"/>
              </w:rPr>
              <w:t>14-De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E1" w:rsidRDefault="005A7DE1" w:rsidP="004F7AC5">
            <w:pPr>
              <w:rPr>
                <w:rFonts w:ascii="Arial" w:hAnsi="Arial" w:cs="Arial"/>
                <w:b/>
              </w:rPr>
            </w:pPr>
            <w:r w:rsidRPr="00520A28">
              <w:rPr>
                <w:rFonts w:ascii="Arial" w:hAnsi="Arial" w:cs="Arial"/>
                <w:b/>
              </w:rPr>
              <w:t xml:space="preserve">Budget </w:t>
            </w:r>
            <w:r>
              <w:rPr>
                <w:rFonts w:ascii="Arial" w:hAnsi="Arial" w:cs="Arial"/>
                <w:b/>
              </w:rPr>
              <w:t>C</w:t>
            </w:r>
            <w:r w:rsidRPr="00520A28">
              <w:rPr>
                <w:rFonts w:ascii="Arial" w:hAnsi="Arial" w:cs="Arial"/>
                <w:b/>
              </w:rPr>
              <w:t>onsultation</w:t>
            </w:r>
          </w:p>
          <w:p w:rsidR="005A7DE1" w:rsidRPr="00520A28" w:rsidRDefault="005A7DE1" w:rsidP="004F7AC5">
            <w:pPr>
              <w:rPr>
                <w:rFonts w:ascii="Arial" w:hAnsi="Arial" w:cs="Arial"/>
                <w:b/>
              </w:rPr>
            </w:pPr>
            <w:r w:rsidRPr="00FE4B6E">
              <w:rPr>
                <w:rFonts w:ascii="Arial" w:hAnsi="Arial" w:cs="Arial"/>
                <w:sz w:val="20"/>
              </w:rPr>
              <w:t>To consider the budget proposals for the 2018-19 financial year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color w:val="000000"/>
              </w:rPr>
            </w:pPr>
            <w:r w:rsidRPr="00BB02C5">
              <w:rPr>
                <w:rFonts w:ascii="Arial" w:hAnsi="Arial" w:cs="Arial"/>
                <w:color w:val="000000"/>
              </w:rPr>
              <w:t>04-Dec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A7DE1" w:rsidRPr="00FE4B6E" w:rsidRDefault="005A7DE1" w:rsidP="004F7AC5">
            <w:pPr>
              <w:rPr>
                <w:rFonts w:ascii="Arial" w:hAnsi="Arial" w:cs="Arial"/>
                <w:b/>
              </w:rPr>
            </w:pPr>
            <w:r w:rsidRPr="00FE4B6E">
              <w:rPr>
                <w:rFonts w:ascii="Arial" w:hAnsi="Arial" w:cs="Arial"/>
                <w:b/>
              </w:rPr>
              <w:t>Budget Consultation</w:t>
            </w:r>
          </w:p>
          <w:p w:rsidR="005A7DE1" w:rsidRPr="00FE4B6E" w:rsidRDefault="005A7DE1" w:rsidP="004F7AC5">
            <w:pPr>
              <w:rPr>
                <w:rFonts w:ascii="Arial" w:hAnsi="Arial" w:cs="Arial"/>
              </w:rPr>
            </w:pPr>
          </w:p>
          <w:p w:rsidR="005A7DE1" w:rsidRPr="00FE4B6E" w:rsidRDefault="005A7DE1" w:rsidP="004F7AC5">
            <w:pPr>
              <w:rPr>
                <w:rFonts w:ascii="Arial" w:hAnsi="Arial" w:cs="Arial"/>
                <w:color w:val="000000"/>
              </w:rPr>
            </w:pPr>
            <w:r w:rsidRPr="00FE4B6E">
              <w:rPr>
                <w:rFonts w:ascii="Arial" w:hAnsi="Arial" w:cs="Arial"/>
                <w:sz w:val="20"/>
              </w:rPr>
              <w:t>To consider the budget proposals for the 2018-19 financial year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</w:rPr>
            </w:pPr>
            <w:r w:rsidRPr="00BB02C5">
              <w:rPr>
                <w:rFonts w:ascii="Arial" w:hAnsi="Arial" w:cs="Arial"/>
              </w:rPr>
              <w:t>07-Dec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5A7DE1" w:rsidRDefault="005A7DE1" w:rsidP="004F7AC5">
            <w:pPr>
              <w:rPr>
                <w:rFonts w:ascii="Arial" w:hAnsi="Arial" w:cs="Arial"/>
                <w:b/>
              </w:rPr>
            </w:pPr>
            <w:r w:rsidRPr="00520A28">
              <w:rPr>
                <w:rFonts w:ascii="Arial" w:hAnsi="Arial" w:cs="Arial"/>
                <w:b/>
              </w:rPr>
              <w:t>Budget Consultation</w:t>
            </w:r>
          </w:p>
          <w:p w:rsidR="005A7DE1" w:rsidRDefault="005A7DE1" w:rsidP="004F7AC5">
            <w:pPr>
              <w:rPr>
                <w:rFonts w:ascii="Arial" w:hAnsi="Arial" w:cs="Arial"/>
                <w:b/>
              </w:rPr>
            </w:pPr>
          </w:p>
          <w:p w:rsidR="005A7DE1" w:rsidRPr="00BB02C5" w:rsidRDefault="005A7DE1" w:rsidP="004F7AC5">
            <w:pPr>
              <w:rPr>
                <w:rFonts w:ascii="Arial" w:hAnsi="Arial" w:cs="Arial"/>
              </w:rPr>
            </w:pPr>
            <w:r w:rsidRPr="00FE4B6E">
              <w:rPr>
                <w:rFonts w:ascii="Arial" w:hAnsi="Arial" w:cs="Arial"/>
                <w:sz w:val="20"/>
              </w:rPr>
              <w:t>To consider the budget proposals for the 2018-19 financial year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color w:val="000000"/>
              </w:rPr>
            </w:pPr>
            <w:r w:rsidRPr="00BB02C5">
              <w:rPr>
                <w:rFonts w:ascii="Arial" w:hAnsi="Arial" w:cs="Arial"/>
                <w:color w:val="000000"/>
              </w:rPr>
              <w:t>06-Dec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7DE1" w:rsidRDefault="005A7DE1" w:rsidP="004F7AC5">
            <w:pPr>
              <w:rPr>
                <w:rFonts w:ascii="Arial" w:hAnsi="Arial" w:cs="Arial"/>
                <w:b/>
              </w:rPr>
            </w:pPr>
            <w:r w:rsidRPr="00520A28">
              <w:rPr>
                <w:rFonts w:ascii="Arial" w:hAnsi="Arial" w:cs="Arial"/>
                <w:b/>
              </w:rPr>
              <w:t>Budget Consultation</w:t>
            </w:r>
          </w:p>
          <w:p w:rsidR="005A7DE1" w:rsidRDefault="005A7DE1" w:rsidP="004F7AC5">
            <w:pPr>
              <w:rPr>
                <w:rFonts w:ascii="Arial" w:hAnsi="Arial" w:cs="Arial"/>
                <w:b/>
              </w:rPr>
            </w:pPr>
          </w:p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  <w:r w:rsidRPr="00FE4B6E">
              <w:rPr>
                <w:rFonts w:ascii="Arial" w:hAnsi="Arial" w:cs="Arial"/>
                <w:sz w:val="20"/>
              </w:rPr>
              <w:t>To consider the budget proposals for the 2018-19 financial year</w:t>
            </w:r>
          </w:p>
        </w:tc>
      </w:tr>
      <w:tr w:rsidR="00FC49B1" w:rsidRPr="00BB02C5" w:rsidTr="00763AD1">
        <w:trPr>
          <w:trHeight w:val="17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Default="005A7DE1" w:rsidP="004F7AC5">
            <w:pPr>
              <w:rPr>
                <w:rFonts w:ascii="Arial" w:hAnsi="Arial" w:cs="Arial"/>
                <w:b/>
              </w:rPr>
            </w:pPr>
            <w:r w:rsidRPr="00520A28">
              <w:rPr>
                <w:rFonts w:ascii="Arial" w:hAnsi="Arial" w:cs="Arial"/>
                <w:b/>
              </w:rPr>
              <w:t>2017-2018 Half Year Financial Performance and Half Year Corporate Plan Performance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</w:tcPr>
          <w:p w:rsidR="005A7DE1" w:rsidRPr="00FE4B6E" w:rsidRDefault="005A7DE1" w:rsidP="004F7A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</w:tcPr>
          <w:p w:rsidR="005A7DE1" w:rsidRDefault="005A7DE1" w:rsidP="004F7A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</w:tcPr>
          <w:p w:rsidR="005A7DE1" w:rsidRDefault="005A7DE1" w:rsidP="004F7A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5625" w:rsidRPr="00DB343D" w:rsidTr="00020FA7">
        <w:trPr>
          <w:trHeight w:val="67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Pr="00DB343D" w:rsidRDefault="00655625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25-Jan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25" w:rsidRDefault="00655625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Default="00655625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48F">
              <w:rPr>
                <w:rFonts w:ascii="Arial" w:hAnsi="Arial" w:cs="Arial"/>
                <w:b/>
                <w:sz w:val="22"/>
                <w:szCs w:val="22"/>
              </w:rPr>
              <w:t>Budget Responses and Budget REP</w:t>
            </w:r>
          </w:p>
          <w:p w:rsidR="00655625" w:rsidRDefault="00655625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Pr="00DB343D" w:rsidRDefault="00655625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Pr="00DB343D" w:rsidRDefault="00655625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10-Jan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</w:tcPr>
          <w:p w:rsidR="00655625" w:rsidRDefault="00655625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Default="00655625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Schools Strategic Review</w:t>
            </w:r>
          </w:p>
          <w:p w:rsidR="00FC49B1" w:rsidRDefault="00FC49B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B1" w:rsidRPr="00FC49B1" w:rsidRDefault="00FC49B1" w:rsidP="00FC49B1">
            <w:pPr>
              <w:rPr>
                <w:rFonts w:ascii="Arial" w:hAnsi="Arial" w:cs="Arial"/>
                <w:sz w:val="20"/>
                <w:szCs w:val="20"/>
              </w:rPr>
            </w:pPr>
            <w:r w:rsidRPr="00FC49B1">
              <w:rPr>
                <w:rFonts w:ascii="Arial" w:hAnsi="Arial" w:cs="Arial"/>
                <w:sz w:val="20"/>
                <w:szCs w:val="20"/>
              </w:rPr>
              <w:t>Post-16 Education – proposals being consulted upon to include the relationships between secondary schools and colleges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Pr="00DB343D" w:rsidRDefault="00655625" w:rsidP="00020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8-Jan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</w:tcPr>
          <w:p w:rsidR="00655625" w:rsidRDefault="00655625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Default="00655625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Empty Homes</w:t>
            </w:r>
          </w:p>
          <w:p w:rsidR="00FC49B1" w:rsidRDefault="00FC49B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B1" w:rsidRPr="00FC49B1" w:rsidRDefault="00FC49B1" w:rsidP="00FC49B1">
            <w:pPr>
              <w:rPr>
                <w:rFonts w:ascii="Arial" w:hAnsi="Arial" w:cs="Arial"/>
                <w:sz w:val="20"/>
                <w:szCs w:val="20"/>
              </w:rPr>
            </w:pPr>
            <w:r w:rsidRPr="00FC49B1">
              <w:rPr>
                <w:rFonts w:ascii="Arial" w:hAnsi="Arial" w:cs="Arial"/>
                <w:sz w:val="20"/>
                <w:szCs w:val="20"/>
              </w:rPr>
              <w:t>A report to inform of the current Welsh Government policy and how BCBC are bringing back into use empty properties across the Borough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Pr="00DB343D" w:rsidRDefault="00655625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17 -Jan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655625" w:rsidRDefault="00655625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Default="00655625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Community Asset Transfer</w:t>
            </w:r>
          </w:p>
          <w:p w:rsidR="00FC49B1" w:rsidRDefault="00FC49B1" w:rsidP="00FC49B1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9B1" w:rsidRPr="00273234" w:rsidRDefault="00FC49B1" w:rsidP="00FC49B1">
            <w:pPr>
              <w:rPr>
                <w:rFonts w:ascii="Arial" w:hAnsi="Arial" w:cs="Arial"/>
                <w:sz w:val="20"/>
                <w:szCs w:val="20"/>
              </w:rPr>
            </w:pPr>
            <w:r w:rsidRPr="00273234">
              <w:rPr>
                <w:rFonts w:ascii="Arial" w:hAnsi="Arial" w:cs="Arial"/>
                <w:sz w:val="20"/>
                <w:szCs w:val="20"/>
              </w:rPr>
              <w:t xml:space="preserve">The current position on the Community Asset Transfer policy </w:t>
            </w:r>
            <w:r w:rsidR="00273234" w:rsidRPr="00273234">
              <w:rPr>
                <w:rFonts w:ascii="Arial" w:hAnsi="Arial" w:cs="Arial"/>
                <w:sz w:val="20"/>
                <w:szCs w:val="20"/>
              </w:rPr>
              <w:t>and how BCBC are engaging with communities to promote the scheme</w:t>
            </w:r>
          </w:p>
        </w:tc>
      </w:tr>
      <w:tr w:rsidR="00655625" w:rsidTr="00763AD1">
        <w:trPr>
          <w:trHeight w:val="988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Default="00655625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25" w:rsidRDefault="00655625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Pr="009B248F" w:rsidRDefault="00655625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48F">
              <w:rPr>
                <w:rFonts w:ascii="Arial" w:hAnsi="Arial" w:cs="Arial"/>
                <w:b/>
                <w:sz w:val="22"/>
                <w:szCs w:val="22"/>
              </w:rPr>
              <w:t>Corporate Plan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Default="00655625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55625" w:rsidRDefault="00655625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Default="00655625" w:rsidP="00020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655625" w:rsidRDefault="00655625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Default="00655625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655625" w:rsidRDefault="00655625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AD1" w:rsidTr="00EE3423">
        <w:trPr>
          <w:trHeight w:val="144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Pr="00DB343D" w:rsidRDefault="00763AD1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21- Feb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D1" w:rsidRDefault="00763AD1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Pr="00763AD1" w:rsidRDefault="00763AD1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9B1">
              <w:rPr>
                <w:rFonts w:ascii="Arial" w:hAnsi="Arial" w:cs="Arial"/>
                <w:b/>
                <w:sz w:val="22"/>
                <w:szCs w:val="22"/>
              </w:rPr>
              <w:t>20172018 Quarter 3 Financial Performance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Default="00763AD1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8-Feb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</w:tcPr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Default="00763AD1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Standards</w:t>
            </w:r>
          </w:p>
          <w:p w:rsidR="00763AD1" w:rsidRDefault="00763AD1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Pr="00273234" w:rsidRDefault="00763AD1" w:rsidP="00273234">
            <w:pPr>
              <w:rPr>
                <w:rFonts w:ascii="Arial" w:hAnsi="Arial" w:cs="Arial"/>
                <w:sz w:val="20"/>
                <w:szCs w:val="20"/>
              </w:rPr>
            </w:pPr>
            <w:r w:rsidRPr="00273234">
              <w:rPr>
                <w:rFonts w:ascii="Arial" w:hAnsi="Arial" w:cs="Arial"/>
                <w:sz w:val="20"/>
                <w:szCs w:val="20"/>
              </w:rPr>
              <w:t>Annual school performance report from CSC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Default="00763AD1" w:rsidP="00020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7-Feb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</w:tcPr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Default="00763AD1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Economic Prosperity of Bridgend County Borough</w:t>
            </w:r>
          </w:p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Default="00763AD1" w:rsidP="002732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3234">
              <w:rPr>
                <w:rFonts w:ascii="Arial" w:hAnsi="Arial" w:cs="Arial"/>
                <w:sz w:val="20"/>
                <w:szCs w:val="20"/>
              </w:rPr>
              <w:t>To include areas such as City Deal,</w:t>
            </w:r>
            <w:r w:rsidRPr="002732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73234">
              <w:rPr>
                <w:rFonts w:ascii="Arial" w:hAnsi="Arial" w:cs="Arial"/>
                <w:sz w:val="20"/>
                <w:szCs w:val="20"/>
              </w:rPr>
              <w:t xml:space="preserve">Economic Development, </w:t>
            </w:r>
            <w:proofErr w:type="spellStart"/>
            <w:r w:rsidRPr="00273234">
              <w:rPr>
                <w:rFonts w:ascii="Arial" w:hAnsi="Arial" w:cs="Arial"/>
                <w:sz w:val="20"/>
                <w:szCs w:val="20"/>
              </w:rPr>
              <w:t>Worklessness</w:t>
            </w:r>
            <w:proofErr w:type="spellEnd"/>
            <w:r w:rsidRPr="00273234">
              <w:rPr>
                <w:rFonts w:ascii="Arial" w:hAnsi="Arial" w:cs="Arial"/>
                <w:sz w:val="20"/>
                <w:szCs w:val="20"/>
              </w:rPr>
              <w:t xml:space="preserve"> Programmes, EU Funding for Skills.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Default="00763AD1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12-Feb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763AD1" w:rsidRDefault="00763AD1" w:rsidP="002732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Default="00763AD1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Town Centre Regeneration </w:t>
            </w:r>
          </w:p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Pr="00273234" w:rsidRDefault="00763AD1" w:rsidP="00273234">
            <w:pPr>
              <w:rPr>
                <w:rFonts w:ascii="Arial" w:hAnsi="Arial" w:cs="Arial"/>
                <w:sz w:val="20"/>
                <w:szCs w:val="20"/>
              </w:rPr>
            </w:pPr>
            <w:r w:rsidRPr="00273234">
              <w:rPr>
                <w:rFonts w:ascii="Arial" w:hAnsi="Arial" w:cs="Arial"/>
                <w:sz w:val="20"/>
                <w:szCs w:val="20"/>
              </w:rPr>
              <w:t>To provide members with information on the responsibilities of the Council and how these are managed and can be developed with reduced resources</w:t>
            </w:r>
          </w:p>
        </w:tc>
      </w:tr>
      <w:tr w:rsidR="00763AD1" w:rsidTr="00EE3423">
        <w:trPr>
          <w:trHeight w:val="1447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Default="00763AD1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D1" w:rsidRDefault="00763AD1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Default="00763AD1" w:rsidP="00763A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9B1">
              <w:rPr>
                <w:rFonts w:ascii="Arial" w:hAnsi="Arial" w:cs="Arial"/>
                <w:b/>
                <w:sz w:val="22"/>
                <w:szCs w:val="22"/>
              </w:rPr>
              <w:t>City Deal</w:t>
            </w:r>
            <w:r w:rsidRPr="006556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63AD1" w:rsidRDefault="00763AD1" w:rsidP="00763A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3AD1" w:rsidRDefault="00763AD1" w:rsidP="00763AD1">
            <w:pPr>
              <w:rPr>
                <w:rFonts w:ascii="Arial" w:hAnsi="Arial" w:cs="Arial"/>
                <w:sz w:val="20"/>
                <w:szCs w:val="20"/>
              </w:rPr>
            </w:pPr>
            <w:r w:rsidRPr="00273234">
              <w:rPr>
                <w:rFonts w:ascii="Arial" w:hAnsi="Arial" w:cs="Arial"/>
                <w:sz w:val="20"/>
                <w:szCs w:val="20"/>
              </w:rPr>
              <w:t>To receive an update on the current position of City Deal, how BCBC are contributing and the expected outcomes for Bridgend</w:t>
            </w:r>
          </w:p>
          <w:p w:rsidR="00763AD1" w:rsidRDefault="00763AD1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Default="00763AD1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Default="00763AD1" w:rsidP="00020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Default="00763AD1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763AD1" w:rsidRDefault="00763AD1" w:rsidP="002732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A7DE1" w:rsidRDefault="005A7DE1" w:rsidP="005A7DE1">
      <w:pPr>
        <w:rPr>
          <w:rFonts w:ascii="Arial" w:hAnsi="Arial" w:cs="Arial"/>
          <w:b/>
        </w:rPr>
      </w:pPr>
    </w:p>
    <w:p w:rsidR="005F3830" w:rsidRDefault="005F3830"/>
    <w:sectPr w:rsidR="005F3830" w:rsidSect="00273234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D18"/>
    <w:multiLevelType w:val="hybridMultilevel"/>
    <w:tmpl w:val="0178B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602D1"/>
    <w:multiLevelType w:val="hybridMultilevel"/>
    <w:tmpl w:val="841A6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527199"/>
    <w:multiLevelType w:val="hybridMultilevel"/>
    <w:tmpl w:val="7EF87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E1"/>
    <w:rsid w:val="00273234"/>
    <w:rsid w:val="003D37C3"/>
    <w:rsid w:val="005A7DE1"/>
    <w:rsid w:val="005F3830"/>
    <w:rsid w:val="00655625"/>
    <w:rsid w:val="00763AD1"/>
    <w:rsid w:val="0092340C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Daniel</dc:creator>
  <cp:lastModifiedBy>Susanna Winstanley</cp:lastModifiedBy>
  <cp:revision>2</cp:revision>
  <dcterms:created xsi:type="dcterms:W3CDTF">2018-02-14T16:56:00Z</dcterms:created>
  <dcterms:modified xsi:type="dcterms:W3CDTF">2018-02-14T16:56:00Z</dcterms:modified>
</cp:coreProperties>
</file>